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ПОЯСНИТЕЛЬНАЯ ЗАПИСКА</w:t>
      </w:r>
      <w:r>
        <w:rPr>
          <w:b/>
          <w:bCs/>
          <w:sz w:val="26"/>
          <w:szCs w:val="26"/>
        </w:rPr>
      </w:r>
    </w:p>
    <w:p>
      <w:pPr>
        <w:jc w:val="center"/>
        <w:shd w:val="clear" w:color="auto" w:fill="ffffff"/>
        <w:rPr>
          <w:rFonts w:ascii="Arial" w:hAnsi="Arial" w:cs="Arial"/>
        </w:rPr>
      </w:pPr>
      <w:r>
        <w:rPr>
          <w:b/>
          <w:bCs/>
          <w:sz w:val="26"/>
          <w:szCs w:val="26"/>
        </w:rPr>
        <w:t xml:space="preserve">к проекту </w:t>
      </w:r>
      <w:r>
        <w:rPr>
          <w:b/>
          <w:sz w:val="26"/>
          <w:szCs w:val="26"/>
        </w:rPr>
        <w:t xml:space="preserve">решения Таймырского Долгано-Ненецкого районного Совета депутатов </w:t>
      </w:r>
      <w:r>
        <w:rPr>
          <w:b/>
          <w:bCs/>
          <w:sz w:val="26"/>
          <w:szCs w:val="26"/>
        </w:rPr>
        <w:t xml:space="preserve">«О бюджете Таймырского Долгано-Ненецкого муниципального округа на 2026 год и плановый период 2027-2028 годов»</w:t>
      </w:r>
      <w:r>
        <w:rPr>
          <w:rFonts w:ascii="Arial" w:hAnsi="Arial" w:cs="Arial"/>
        </w:rPr>
      </w:r>
    </w:p>
    <w:p>
      <w:pPr>
        <w:ind w:firstLine="709"/>
        <w:jc w:val="both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709"/>
        <w:jc w:val="both"/>
        <w:spacing w:after="120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 xml:space="preserve">Формирование проекта бюджета Таймырского Долгано-Ненецкого муниципального ок</w:t>
      </w:r>
      <w:r>
        <w:rPr>
          <w:sz w:val="26"/>
          <w:szCs w:val="26"/>
        </w:rPr>
        <w:t xml:space="preserve">руга (далее - бюджет муниципального округа) на 2026 год и плановый период 2027-2028 годов осуществлялось в соответствии с Бюджетным кодексом Российской Федерации (далее - БК РФ), Налоговым кодексом Российской Федерации, Федеральным законом от 06.10.2003 № </w:t>
      </w:r>
      <w:r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Решением Таймырского Долгано-Ненецкого районного Совета депутатов от 20.06.2011 № 09-0189 «Об утверждении Положения о бюджетном процессе в Таймырском Долгано-Ненецком м</w:t>
      </w:r>
      <w:r>
        <w:rPr>
          <w:sz w:val="26"/>
          <w:szCs w:val="26"/>
        </w:rPr>
        <w:t xml:space="preserve">униципальном районе» (с учетом положений Решения Таймырского Долгано-Ненецкого районного Совета депутатов от 26.06.2025 № 04-108), в порядке, утвержденном постановлением Администрации Таймырского Долгано-Ненецкого муниципального района от 04.10.2012 № 636 </w:t>
      </w:r>
      <w:r>
        <w:rPr>
          <w:sz w:val="26"/>
          <w:szCs w:val="26"/>
          <w:lang w:eastAsia="ru-RU"/>
        </w:rPr>
        <w:t xml:space="preserve">«Об утверждении Порядка формирования проекта районного бюджета» (далее - Порядок № 636)</w:t>
      </w:r>
      <w:r>
        <w:rPr>
          <w:sz w:val="26"/>
          <w:szCs w:val="26"/>
          <w:lang w:eastAsia="ru-RU"/>
        </w:rPr>
        <w:t xml:space="preserve">, с учетом </w:t>
      </w:r>
      <w:r>
        <w:rPr>
          <w:bCs/>
          <w:sz w:val="26"/>
          <w:szCs w:val="26"/>
          <w:highlight w:val="white"/>
        </w:rPr>
        <w:t xml:space="preserve">Федерального закона от 20.03.2025 № 33-ФЗ «Об общих принципах организации местного самоуправления</w:t>
      </w:r>
      <w:r>
        <w:rPr>
          <w:bCs/>
          <w:sz w:val="26"/>
          <w:szCs w:val="26"/>
          <w:highlight w:val="white"/>
        </w:rPr>
        <w:t xml:space="preserve"> в единой системе публичной власти» (далее – Федеральный закон № 33-ФЗ) и  Закона Красноярского края от 15.05.2025              № 9-3914 «О территориальной организации местного самоуправления в Красноярском крае» (далее - закон Красноярского края № 9-3914)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 xml:space="preserve">Основными источниками информации при подготовке проекта бюджета муниципального округа на 2026 год и плановый период 2027-2028 годов являлись:</w:t>
      </w:r>
      <w:r>
        <w:rPr>
          <w:sz w:val="26"/>
          <w:szCs w:val="26"/>
        </w:rPr>
      </w:r>
    </w:p>
    <w:p>
      <w:pPr>
        <w:numPr>
          <w:ilvl w:val="0"/>
          <w:numId w:val="7"/>
        </w:numPr>
        <w:ind w:left="0" w:firstLine="709"/>
        <w:jc w:val="both"/>
        <w:spacing w:after="120"/>
        <w:tabs>
          <w:tab w:val="clear" w:pos="720" w:leader="none"/>
          <w:tab w:val="num" w:pos="1080" w:leader="none"/>
          <w:tab w:val="num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послание Президента Российской Федерации Федеральному Собранию Российской Федерации от 29.02.2024 и перечень поручений по реализации послания Президента Российской Федерации от 30.03.2024 № Пр-616;</w:t>
      </w:r>
      <w:r>
        <w:rPr>
          <w:sz w:val="26"/>
          <w:szCs w:val="26"/>
        </w:rPr>
      </w:r>
    </w:p>
    <w:p>
      <w:pPr>
        <w:numPr>
          <w:ilvl w:val="0"/>
          <w:numId w:val="7"/>
        </w:numPr>
        <w:ind w:firstLine="0"/>
        <w:jc w:val="both"/>
        <w:spacing w:before="120" w:after="120"/>
        <w:tabs>
          <w:tab w:val="clear" w:pos="720" w:leader="none"/>
          <w:tab w:val="num" w:pos="1080" w:leader="none"/>
          <w:tab w:val="num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Бюджетный кодекс и Налоговый кодекс Российской Федерации;</w:t>
      </w:r>
      <w:r>
        <w:rPr>
          <w:sz w:val="26"/>
          <w:szCs w:val="26"/>
        </w:rPr>
      </w:r>
    </w:p>
    <w:p>
      <w:pPr>
        <w:numPr>
          <w:ilvl w:val="0"/>
          <w:numId w:val="7"/>
        </w:numPr>
        <w:ind w:left="0" w:firstLine="709"/>
        <w:jc w:val="both"/>
        <w:spacing w:after="120"/>
        <w:tabs>
          <w:tab w:val="clear" w:pos="720" w:leader="none"/>
          <w:tab w:val="num" w:pos="1080" w:leader="none"/>
          <w:tab w:val="num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прогноз социально-экономического развития Таймырского Долгано-Ненецкого муниципального округа на 2026-2028 годы (далее – прогноз СЭР);</w:t>
      </w:r>
      <w:r>
        <w:rPr>
          <w:sz w:val="26"/>
          <w:szCs w:val="26"/>
        </w:rPr>
      </w:r>
    </w:p>
    <w:p>
      <w:pPr>
        <w:numPr>
          <w:ilvl w:val="0"/>
          <w:numId w:val="7"/>
        </w:numPr>
        <w:ind w:left="0" w:firstLine="709"/>
        <w:jc w:val="both"/>
        <w:spacing w:after="120"/>
        <w:tabs>
          <w:tab w:val="clear" w:pos="720" w:leader="none"/>
          <w:tab w:val="num" w:pos="1080" w:leader="none"/>
          <w:tab w:val="num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основные направления бюджетной и налоговой политики Таймырского Долгано-Ненецкого муниципального округа на 2026 год и плановый период 2027-2028 годов;</w:t>
      </w:r>
      <w:r>
        <w:rPr>
          <w:sz w:val="26"/>
          <w:szCs w:val="26"/>
        </w:rPr>
      </w:r>
    </w:p>
    <w:p>
      <w:pPr>
        <w:numPr>
          <w:ilvl w:val="0"/>
          <w:numId w:val="7"/>
        </w:numPr>
        <w:ind w:left="0" w:firstLine="709"/>
        <w:jc w:val="both"/>
        <w:spacing w:after="120"/>
        <w:tabs>
          <w:tab w:val="clear" w:pos="720" w:leader="none"/>
          <w:tab w:val="num" w:pos="1080" w:leader="none"/>
          <w:tab w:val="num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муниципальные программы Таймырского Долгано-Ненецкого муниципального округа.</w:t>
      </w:r>
      <w:r>
        <w:rPr>
          <w:sz w:val="26"/>
          <w:szCs w:val="26"/>
        </w:rPr>
      </w:r>
    </w:p>
    <w:p>
      <w:pPr>
        <w:jc w:val="both"/>
        <w:spacing w:after="120"/>
        <w:shd w:val="clear" w:color="auto" w:fill="ffffff"/>
        <w:tabs>
          <w:tab w:val="left" w:pos="709" w:leader="none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При подготовке проекта бюджета муниципального округа также были использованы:</w:t>
      </w:r>
      <w:r>
        <w:rPr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both"/>
        <w:spacing w:after="120"/>
        <w:shd w:val="clear" w:color="auto" w:fill="ffffff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информационно-методические материалы министерства финансов Красноярского края «О подходах к формированию бюджета на 2026 год и плановый период 2027 - 2028 годов»;</w:t>
      </w:r>
      <w:r>
        <w:rPr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both"/>
        <w:spacing w:after="120"/>
        <w:shd w:val="clear" w:color="auto" w:fill="ffffff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проект Закона Красноярского края «О краевом бюджете на 2026 год и плановый период 2027-2028 годов»;</w:t>
      </w:r>
      <w:r>
        <w:rPr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both"/>
        <w:spacing w:after="120"/>
        <w:shd w:val="clear" w:color="auto" w:fill="ffffff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отчеты налоговых органов о налоговой базе и структуре начисления местных налогов и сборов;</w:t>
      </w:r>
      <w:r>
        <w:rPr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both"/>
        <w:spacing w:after="120"/>
        <w:shd w:val="clear" w:color="auto" w:fill="ffffff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информации главных администраторов доходов, главных администраторов источников финансирования дефицита и главных распорядителей средств бюджета муниципального округа;</w:t>
      </w:r>
      <w:r>
        <w:rPr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both"/>
        <w:spacing w:after="120"/>
        <w:shd w:val="clear" w:color="auto" w:fill="ffffff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приказы Министерства финансов Российской Федерации:</w:t>
      </w:r>
      <w:r>
        <w:rPr>
          <w:sz w:val="26"/>
          <w:szCs w:val="26"/>
        </w:rPr>
      </w:r>
    </w:p>
    <w:p>
      <w:pPr>
        <w:numPr>
          <w:ilvl w:val="0"/>
          <w:numId w:val="11"/>
        </w:numPr>
        <w:ind w:left="0" w:firstLine="709"/>
        <w:jc w:val="both"/>
        <w:spacing w:after="120"/>
        <w:shd w:val="clear" w:color="auto" w:fill="ffffff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от 24.05.2022 № 82н «О Порядке формирования и применения кодов бюджетной классификации Российской Федерации, их структуре и принципах назначения»</w:t>
      </w:r>
      <w:r>
        <w:rPr>
          <w:sz w:val="26"/>
          <w:szCs w:val="26"/>
        </w:rPr>
      </w:r>
    </w:p>
    <w:p>
      <w:pPr>
        <w:numPr>
          <w:ilvl w:val="0"/>
          <w:numId w:val="11"/>
        </w:numPr>
        <w:ind w:left="0" w:firstLine="709"/>
        <w:jc w:val="both"/>
        <w:spacing w:after="120"/>
        <w:shd w:val="clear" w:color="auto" w:fill="ffffff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от 10.06.2025 № 70н «Об утверждении кодов (перечней кодов) бюджетной классификации Российской Федерации на 2026 год (на 2026 год и на плановый период 2027 и 2028 годов)».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При формировании основных параметров бюджета муниципального округа на 2026 год и плановый период 2027-2028 годов соблюдены принципы бюджетной системы, установленные статьей 28 Бюджетного кодекса Российской Федерации.</w:t>
      </w:r>
      <w:r>
        <w:rPr>
          <w:sz w:val="26"/>
          <w:szCs w:val="26"/>
        </w:rPr>
      </w:r>
    </w:p>
    <w:p>
      <w:pPr>
        <w:ind w:firstLine="709"/>
        <w:spacing w:after="120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 xml:space="preserve">I</w:t>
      </w:r>
      <w:r>
        <w:rPr>
          <w:b/>
          <w:sz w:val="26"/>
          <w:szCs w:val="26"/>
        </w:rPr>
        <w:t xml:space="preserve">. ДОХОДЫ</w:t>
      </w:r>
      <w:r>
        <w:rPr>
          <w:b/>
          <w:sz w:val="26"/>
          <w:szCs w:val="26"/>
        </w:rPr>
      </w:r>
    </w:p>
    <w:p>
      <w:pPr>
        <w:ind w:firstLine="709"/>
        <w:jc w:val="both"/>
        <w:spacing w:before="120" w:after="120"/>
        <w:rPr>
          <w:sz w:val="26"/>
          <w:szCs w:val="26"/>
        </w:rPr>
      </w:pPr>
      <w:r>
        <w:rPr>
          <w:sz w:val="26"/>
          <w:szCs w:val="26"/>
        </w:rPr>
        <w:t xml:space="preserve">При расчете объема доходов бюджета муниципального округа учитывались принятые и предполагаемые к принятию изменения в законодательство Российской Федерации и Красноярского края на 2026 год и плановый период 2027 и 2028 годов.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В связи с чем, общий объем доходов бюджета муниципального округа сформирован </w:t>
      </w:r>
      <w:r>
        <w:rPr>
          <w:b/>
          <w:sz w:val="26"/>
          <w:szCs w:val="26"/>
        </w:rPr>
        <w:t xml:space="preserve">на 2026 год в сумме 13 966 971,42 тыс. рублей, на 2027 и 2028 годы – 13 937 910,89 тыс. рублей и 14 837 136,75 тыс. рублей </w:t>
      </w:r>
      <w:r>
        <w:rPr>
          <w:sz w:val="26"/>
          <w:szCs w:val="26"/>
        </w:rPr>
        <w:t xml:space="preserve">соответственно, в том числе: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b/>
          <w:sz w:val="26"/>
          <w:szCs w:val="26"/>
        </w:rPr>
        <w:t xml:space="preserve">1.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Объем налоговых и неналоговых доходов </w:t>
      </w:r>
      <w:r>
        <w:rPr>
          <w:sz w:val="26"/>
          <w:szCs w:val="26"/>
        </w:rPr>
        <w:t xml:space="preserve">бюджета муниципального округа составит </w:t>
      </w:r>
      <w:r>
        <w:rPr>
          <w:b/>
          <w:sz w:val="26"/>
          <w:szCs w:val="26"/>
        </w:rPr>
        <w:t xml:space="preserve">на 2026 год – 4 970 738,21 тыс. рублей</w:t>
      </w:r>
      <w:r>
        <w:rPr>
          <w:sz w:val="26"/>
          <w:szCs w:val="26"/>
        </w:rPr>
        <w:t xml:space="preserve">, на </w:t>
      </w:r>
      <w:r>
        <w:rPr>
          <w:b/>
          <w:sz w:val="26"/>
          <w:szCs w:val="26"/>
        </w:rPr>
        <w:t xml:space="preserve">2027 и 2028 годы – 5 392 448,79 тыс. рублей и 5 757 751,85 тыс. рублей</w:t>
      </w:r>
      <w:r>
        <w:rPr>
          <w:sz w:val="26"/>
          <w:szCs w:val="26"/>
        </w:rPr>
        <w:t xml:space="preserve"> соответственно.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tabs>
          <w:tab w:val="left" w:pos="10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 формировании плановых показателей по вышеуказанным </w:t>
      </w:r>
      <w:r>
        <w:rPr>
          <w:sz w:val="26"/>
          <w:szCs w:val="26"/>
        </w:rPr>
        <w:t xml:space="preserve">доходам  учитывалось</w:t>
      </w:r>
      <w:r>
        <w:rPr>
          <w:sz w:val="26"/>
          <w:szCs w:val="26"/>
        </w:rPr>
        <w:t xml:space="preserve"> следующее: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i/>
          <w:sz w:val="26"/>
          <w:szCs w:val="26"/>
        </w:rPr>
      </w:pPr>
      <w:r>
        <w:rPr>
          <w:b/>
          <w:i/>
          <w:sz w:val="26"/>
          <w:szCs w:val="26"/>
          <w:u w:val="single"/>
        </w:rPr>
        <w:t xml:space="preserve">Налог на прибыль организаций</w:t>
      </w:r>
      <w:r>
        <w:rPr>
          <w:i/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При расчете общей суммы прогнозируемого поступления налога на прибыль организаций по территории Таймырского Долгано-Ненецкого муниципального округа использовались следующие исходные данные:</w:t>
      </w:r>
      <w:r>
        <w:rPr>
          <w:sz w:val="26"/>
          <w:szCs w:val="26"/>
        </w:rPr>
      </w:r>
    </w:p>
    <w:p>
      <w:pPr>
        <w:numPr>
          <w:ilvl w:val="0"/>
          <w:numId w:val="3"/>
        </w:numPr>
        <w:ind w:left="0" w:firstLine="720"/>
        <w:jc w:val="both"/>
        <w:spacing w:after="120"/>
        <w:tabs>
          <w:tab w:val="num" w:pos="0" w:leader="none"/>
          <w:tab w:val="left" w:pos="720" w:leader="none"/>
          <w:tab w:val="left" w:pos="900" w:leader="none"/>
          <w:tab w:val="left" w:pos="10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отчетные данные налогового органа по видам экономической деятельности за 2024 год и 8 месяцев 2025 года, предоставляемые в соответствии с приказом Министерства финансов Российской Федерации от 30.06.2008 № 65н «Об утвержден</w:t>
      </w:r>
      <w:r>
        <w:rPr>
          <w:sz w:val="26"/>
          <w:szCs w:val="26"/>
        </w:rPr>
        <w:t xml:space="preserve">ии периодичности,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</w:t>
      </w:r>
      <w:r>
        <w:rPr>
          <w:sz w:val="26"/>
          <w:szCs w:val="26"/>
        </w:rPr>
        <w:t xml:space="preserve">ой власти, уполномоченного по контролю и надзору в области налогов и сборов, утвержденными постановлением Правительства Российской Федерации от 12.08.2004 № 410» (далее – отчетные данные налогового органа, предоставляемые в соответствии с приказом № 65н); </w:t>
      </w:r>
      <w:r>
        <w:rPr>
          <w:sz w:val="26"/>
          <w:szCs w:val="26"/>
        </w:rPr>
      </w:r>
    </w:p>
    <w:p>
      <w:pPr>
        <w:numPr>
          <w:ilvl w:val="0"/>
          <w:numId w:val="3"/>
        </w:numPr>
        <w:ind w:left="0" w:firstLine="720"/>
        <w:jc w:val="both"/>
        <w:spacing w:after="120"/>
        <w:tabs>
          <w:tab w:val="num" w:pos="0" w:leader="none"/>
          <w:tab w:val="clear" w:pos="720" w:leader="none"/>
          <w:tab w:val="left" w:pos="900" w:leader="none"/>
          <w:tab w:val="left" w:pos="10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отчет налогового органа по форме № 5-ПМ «Отчет о налоговой базе и структуре начислений по налогу на прибыль организаций, зачисляемому в бюджет субъекта РФ» по итогам 2024 года;</w:t>
      </w:r>
      <w:r>
        <w:rPr>
          <w:sz w:val="26"/>
          <w:szCs w:val="26"/>
        </w:rPr>
      </w:r>
    </w:p>
    <w:p>
      <w:pPr>
        <w:numPr>
          <w:ilvl w:val="0"/>
          <w:numId w:val="3"/>
        </w:numPr>
        <w:ind w:left="0" w:firstLine="720"/>
        <w:jc w:val="both"/>
        <w:spacing w:after="120"/>
        <w:tabs>
          <w:tab w:val="num" w:pos="0" w:leader="none"/>
          <w:tab w:val="clear" w:pos="720" w:leader="none"/>
          <w:tab w:val="left" w:pos="900" w:leader="none"/>
          <w:tab w:val="left" w:pos="10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оценка исполнения 202</w:t>
      </w:r>
      <w:r>
        <w:rPr>
          <w:sz w:val="26"/>
          <w:szCs w:val="26"/>
          <w:lang w:val="en-US"/>
        </w:rPr>
        <w:t xml:space="preserve">5</w:t>
      </w:r>
      <w:r>
        <w:rPr>
          <w:sz w:val="26"/>
          <w:szCs w:val="26"/>
        </w:rPr>
        <w:t xml:space="preserve"> года. </w:t>
      </w:r>
      <w:r>
        <w:rPr>
          <w:sz w:val="26"/>
          <w:szCs w:val="26"/>
        </w:rPr>
      </w:r>
    </w:p>
    <w:p>
      <w:pPr>
        <w:ind w:firstLine="709"/>
        <w:jc w:val="both"/>
        <w:rPr>
          <w:rFonts w:ascii="Calibri" w:hAnsi="Calibri" w:eastAsia="Calibri"/>
          <w:sz w:val="26"/>
          <w:szCs w:val="26"/>
          <w:lang w:eastAsia="en-US"/>
        </w:rPr>
      </w:pPr>
      <w:r>
        <w:rPr>
          <w:sz w:val="26"/>
          <w:szCs w:val="26"/>
          <w:lang w:eastAsia="ru-RU"/>
        </w:rPr>
        <w:t xml:space="preserve">Прогноз поступления определен с учетом норматива отчисления в бюджет муниципального округа в размере 10%, и н</w:t>
      </w:r>
      <w:r>
        <w:rPr>
          <w:rFonts w:eastAsia="Calibri"/>
          <w:sz w:val="26"/>
          <w:szCs w:val="26"/>
          <w:lang w:eastAsia="en-US"/>
        </w:rPr>
        <w:t xml:space="preserve">ачиная с 2026 года </w:t>
      </w:r>
      <w:r>
        <w:rPr>
          <w:sz w:val="26"/>
          <w:szCs w:val="26"/>
          <w:lang w:eastAsia="ru-RU"/>
        </w:rPr>
        <w:t xml:space="preserve">окончанием действия временного порядка распределения доходов от налога на прибыль организаций</w:t>
      </w:r>
      <w:r>
        <w:rPr>
          <w:iCs/>
          <w:sz w:val="26"/>
          <w:szCs w:val="26"/>
          <w:lang w:eastAsia="ru-RU"/>
        </w:rPr>
        <w:t xml:space="preserve">, </w:t>
      </w:r>
      <w:r>
        <w:rPr>
          <w:iCs/>
          <w:sz w:val="26"/>
          <w:szCs w:val="26"/>
          <w:lang w:eastAsia="ru-RU"/>
        </w:rPr>
        <w:t xml:space="preserve">уплаченного налогоплательщиками, которые до 1 января 2023 года являлись участниками консолидированной группы налогоплательщиков.</w:t>
      </w:r>
      <w:r>
        <w:rPr>
          <w:rFonts w:ascii="Calibri" w:hAnsi="Calibri" w:eastAsia="Calibri"/>
          <w:sz w:val="26"/>
          <w:szCs w:val="26"/>
          <w:lang w:eastAsia="en-US"/>
        </w:rPr>
      </w:r>
    </w:p>
    <w:p>
      <w:pPr>
        <w:ind w:firstLine="709"/>
        <w:jc w:val="both"/>
        <w:spacing w:before="120" w:after="120"/>
        <w:rPr>
          <w:sz w:val="26"/>
          <w:szCs w:val="26"/>
        </w:rPr>
      </w:pPr>
      <w:r>
        <w:rPr>
          <w:sz w:val="26"/>
          <w:szCs w:val="26"/>
        </w:rPr>
        <w:t xml:space="preserve">Учтен сводный индекс производства и дефлятор цен по виду деятельности «Прочие виды экономической деятельности» на 2026 год - в размере 105,6%, на 2027 и 2028 годы - 104,1% и 104% соответственно. 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Таким образом, объем поступлений по налогу на прибыль организаций в бюджет муниципального округа определен на 2026 год в сумме 749 437,89 тыс. рублей, на 2027-2028 годы – 780 164,85 тыс. рублей и 811 371,45 тыс. рублей соответственно.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tabs>
          <w:tab w:val="left" w:pos="72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Расчет суммы поступлений налога на прибыль организаций в бюджет муниципального округа на 2026 год и плановый период 2027-2028 годов представлен в </w:t>
      </w:r>
      <w:r>
        <w:rPr>
          <w:b/>
          <w:sz w:val="26"/>
          <w:szCs w:val="26"/>
        </w:rPr>
        <w:t xml:space="preserve">Приложении №1</w:t>
      </w:r>
      <w:r>
        <w:rPr>
          <w:sz w:val="26"/>
          <w:szCs w:val="26"/>
        </w:rPr>
        <w:t xml:space="preserve"> к Пояснительной записке.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i/>
          <w:sz w:val="26"/>
          <w:szCs w:val="26"/>
        </w:rPr>
      </w:pPr>
      <w:r>
        <w:rPr>
          <w:b/>
          <w:i/>
          <w:sz w:val="26"/>
          <w:szCs w:val="26"/>
          <w:u w:val="single"/>
        </w:rPr>
        <w:t xml:space="preserve">Налог на доходы физических лиц</w:t>
      </w:r>
      <w:r>
        <w:rPr>
          <w:i/>
          <w:sz w:val="26"/>
          <w:szCs w:val="26"/>
        </w:rPr>
      </w:r>
    </w:p>
    <w:p>
      <w:pPr>
        <w:jc w:val="both"/>
        <w:spacing w:after="120"/>
        <w:tabs>
          <w:tab w:val="left" w:pos="720" w:leader="none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При расчете прогнозируемой суммы поступления налога на доходы физических лиц (далее - НДФЛ) использовались следующие исходные данные:</w:t>
      </w:r>
      <w:r>
        <w:rPr>
          <w:sz w:val="26"/>
          <w:szCs w:val="26"/>
        </w:rPr>
      </w:r>
    </w:p>
    <w:p>
      <w:pPr>
        <w:numPr>
          <w:ilvl w:val="0"/>
          <w:numId w:val="4"/>
        </w:numPr>
        <w:ind w:left="0" w:firstLine="720"/>
        <w:jc w:val="both"/>
        <w:spacing w:after="120"/>
        <w:tabs>
          <w:tab w:val="num" w:pos="0" w:leader="none"/>
          <w:tab w:val="left" w:pos="900" w:leader="none"/>
          <w:tab w:val="left" w:pos="1080" w:leader="none"/>
          <w:tab w:val="clear" w:pos="1620" w:leader="none"/>
          <w:tab w:val="num" w:pos="39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отчетные данные налогового органа, предоставляемые по форме № 5-НДФЛ «Отчет о налоговой базе и структуре начислений по налогу на доходы физических лиц»;</w:t>
      </w:r>
      <w:r>
        <w:rPr>
          <w:sz w:val="26"/>
          <w:szCs w:val="26"/>
        </w:rPr>
      </w:r>
    </w:p>
    <w:p>
      <w:pPr>
        <w:numPr>
          <w:ilvl w:val="0"/>
          <w:numId w:val="4"/>
        </w:numPr>
        <w:ind w:left="0" w:firstLine="720"/>
        <w:jc w:val="both"/>
        <w:spacing w:after="120"/>
        <w:tabs>
          <w:tab w:val="num" w:pos="0" w:leader="none"/>
          <w:tab w:val="left" w:pos="900" w:leader="none"/>
          <w:tab w:val="left" w:pos="1080" w:leader="none"/>
          <w:tab w:val="clear" w:pos="1620" w:leader="none"/>
          <w:tab w:val="num" w:pos="39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информация налогового органа, предоставленная в соответствии с приказом № 65н;</w:t>
      </w:r>
      <w:r>
        <w:rPr>
          <w:sz w:val="26"/>
          <w:szCs w:val="26"/>
        </w:rPr>
      </w:r>
    </w:p>
    <w:p>
      <w:pPr>
        <w:numPr>
          <w:ilvl w:val="0"/>
          <w:numId w:val="4"/>
        </w:numPr>
        <w:ind w:left="0" w:firstLine="720"/>
        <w:jc w:val="both"/>
        <w:spacing w:after="120"/>
        <w:tabs>
          <w:tab w:val="num" w:pos="0" w:leader="none"/>
          <w:tab w:val="left" w:pos="900" w:leader="none"/>
          <w:tab w:val="left" w:pos="1080" w:leader="none"/>
          <w:tab w:val="clear" w:pos="1620" w:leader="none"/>
          <w:tab w:val="num" w:pos="39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оценка исполнения 2025 года; </w:t>
      </w:r>
      <w:r>
        <w:rPr>
          <w:sz w:val="26"/>
          <w:szCs w:val="26"/>
        </w:rPr>
      </w:r>
    </w:p>
    <w:p>
      <w:pPr>
        <w:numPr>
          <w:ilvl w:val="0"/>
          <w:numId w:val="4"/>
        </w:numPr>
        <w:ind w:left="0" w:firstLine="720"/>
        <w:jc w:val="both"/>
        <w:spacing w:after="120"/>
        <w:tabs>
          <w:tab w:val="num" w:pos="0" w:leader="none"/>
          <w:tab w:val="left" w:pos="900" w:leader="none"/>
          <w:tab w:val="left" w:pos="1080" w:leader="none"/>
          <w:tab w:val="clear" w:pos="1620" w:leader="none"/>
          <w:tab w:val="num" w:pos="39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объемы прогнозируемых показателей, согласованные с министерством финансов Красноярского края.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Сумма НДФЛ по подстатьям 1 01 02010, 1 01 02080, 1 01 </w:t>
      </w:r>
      <w:r>
        <w:rPr>
          <w:sz w:val="26"/>
          <w:szCs w:val="26"/>
        </w:rPr>
        <w:t xml:space="preserve">02150, 1 01 02160,              1 01 02210 и 1 01 02230,  на 2026 год определена с учетом использования темпа прироста показателя Прогноза СЭР по Таймырскому Долгано-Ненецкому муниципальному округу «фонд заработной платы работников всех видов деятельности»</w:t>
      </w:r>
      <w:r>
        <w:rPr>
          <w:szCs w:val="28"/>
        </w:rPr>
        <w:t xml:space="preserve"> </w:t>
      </w:r>
      <w:r>
        <w:rPr>
          <w:sz w:val="26"/>
          <w:szCs w:val="26"/>
        </w:rPr>
        <w:t xml:space="preserve">– на 111,99%, на 2027 и 2028 годы – 109,02% и 107,92% соответственно, по подстатьям 1 01 02020, 1 01 02030,       1 01 02130 и 1 01 02140 с учетом средне</w:t>
      </w:r>
      <w:r>
        <w:rPr>
          <w:sz w:val="26"/>
          <w:szCs w:val="26"/>
        </w:rPr>
        <w:t xml:space="preserve">годового индекса потребительских цен по Красноярскому краю, на 2026 год – 105,6%, на 2027 и 2028 годы - 104,1% и 104% соответственно (далее - среднегодовой индекс потребительских цен), по                             подстатье 1 01 02040 с учетом изменения </w:t>
      </w:r>
      <w:r>
        <w:rPr>
          <w:rFonts w:eastAsia="Calibri"/>
          <w:sz w:val="26"/>
          <w:szCs w:val="26"/>
          <w:lang w:eastAsia="en-US"/>
        </w:rPr>
        <w:t xml:space="preserve">коэффициента-дефлятора,  необходимого в целях примене</w:t>
      </w:r>
      <w:r>
        <w:rPr>
          <w:rFonts w:eastAsia="Calibri"/>
          <w:sz w:val="26"/>
          <w:szCs w:val="26"/>
          <w:lang w:eastAsia="en-US"/>
        </w:rPr>
        <w:t xml:space="preserve">ния главы 23 «Налог на доходы физических лиц» Налогового Кодекса Российской Федерации (увеличение с 2,594 до 2,842) и изменения коэффициента, отражающего региональные особенности рынка труда в Красноярском крае, на 2026 год (уменьшение с 3,2886 до 3,2326).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 Учтено погашение недоимки на 2026-2028 годы в размере 20 % еж</w:t>
      </w:r>
      <w:r>
        <w:rPr>
          <w:sz w:val="26"/>
          <w:szCs w:val="26"/>
        </w:rPr>
        <w:t xml:space="preserve">егодно от суммы недоимки по состоянию на 01.08.2025 (подстатьи 1 01 02020, 1 01 02030 и                               1 01 02140) и в размере 35% в 2026 – 2027 годы и 30 % в 2028 году (подстатьи 1 01 02010, 1 01 02080, 1 01 02150, 1 01 02210 и 1 01 02230).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Расчет НДФЛ по подстатьям представлен в </w:t>
      </w:r>
      <w:r>
        <w:rPr>
          <w:b/>
          <w:sz w:val="26"/>
          <w:szCs w:val="26"/>
        </w:rPr>
        <w:t xml:space="preserve">Приложениях №2 и №3 </w:t>
      </w:r>
      <w:r>
        <w:rPr>
          <w:sz w:val="26"/>
          <w:szCs w:val="26"/>
        </w:rPr>
        <w:t xml:space="preserve">к Пояснительной записке. Общий объем поступлений НДФЛ в бюджет муниципального округа определен в следующих размерах:</w:t>
      </w:r>
      <w:r>
        <w:rPr>
          <w:sz w:val="26"/>
          <w:szCs w:val="26"/>
        </w:rPr>
      </w:r>
    </w:p>
    <w:p>
      <w:pPr>
        <w:numPr>
          <w:ilvl w:val="0"/>
          <w:numId w:val="6"/>
        </w:numPr>
        <w:ind w:left="1134" w:hanging="425"/>
        <w:jc w:val="both"/>
        <w:tabs>
          <w:tab w:val="left" w:pos="10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на 2026 год </w:t>
      </w:r>
      <w:r>
        <w:rPr>
          <w:sz w:val="26"/>
          <w:szCs w:val="26"/>
        </w:rPr>
        <w:t xml:space="preserve">-  3</w:t>
      </w:r>
      <w:r>
        <w:rPr>
          <w:sz w:val="26"/>
          <w:szCs w:val="26"/>
        </w:rPr>
        <w:t xml:space="preserve"> 394 295,10 тыс. рублей;</w:t>
      </w:r>
      <w:r>
        <w:rPr>
          <w:sz w:val="26"/>
          <w:szCs w:val="26"/>
        </w:rPr>
      </w:r>
    </w:p>
    <w:p>
      <w:pPr>
        <w:numPr>
          <w:ilvl w:val="0"/>
          <w:numId w:val="6"/>
        </w:numPr>
        <w:ind w:left="1134" w:hanging="425"/>
        <w:jc w:val="both"/>
        <w:tabs>
          <w:tab w:val="left" w:pos="10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на 2027 год </w:t>
      </w:r>
      <w:r>
        <w:rPr>
          <w:sz w:val="26"/>
          <w:szCs w:val="26"/>
        </w:rPr>
        <w:t xml:space="preserve">-  3</w:t>
      </w:r>
      <w:r>
        <w:rPr>
          <w:sz w:val="26"/>
          <w:szCs w:val="26"/>
        </w:rPr>
        <w:t xml:space="preserve"> 724 434,87 тыс. рублей;</w:t>
      </w:r>
      <w:r>
        <w:rPr>
          <w:sz w:val="26"/>
          <w:szCs w:val="26"/>
        </w:rPr>
      </w:r>
    </w:p>
    <w:p>
      <w:pPr>
        <w:numPr>
          <w:ilvl w:val="0"/>
          <w:numId w:val="6"/>
        </w:numPr>
        <w:ind w:left="1134" w:hanging="425"/>
        <w:jc w:val="both"/>
        <w:spacing w:after="120"/>
        <w:tabs>
          <w:tab w:val="num" w:pos="0" w:leader="none"/>
          <w:tab w:val="left" w:pos="10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на 2028 год </w:t>
      </w:r>
      <w:r>
        <w:rPr>
          <w:sz w:val="26"/>
          <w:szCs w:val="26"/>
        </w:rPr>
        <w:t xml:space="preserve">-  4</w:t>
      </w:r>
      <w:r>
        <w:rPr>
          <w:sz w:val="26"/>
          <w:szCs w:val="26"/>
        </w:rPr>
        <w:t xml:space="preserve"> 032 596,79 тыс. рублей.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tabs>
          <w:tab w:val="num" w:pos="0" w:leader="none"/>
          <w:tab w:val="left" w:pos="720" w:leader="none"/>
        </w:tabs>
        <w:rPr>
          <w:b/>
          <w:i/>
          <w:spacing w:val="4"/>
          <w:sz w:val="26"/>
          <w:szCs w:val="26"/>
          <w:u w:val="single"/>
        </w:rPr>
        <w:outlineLvl w:val="2"/>
      </w:pPr>
      <w:r/>
      <w:bookmarkStart w:id="0" w:name="_Toc211339770"/>
      <w:r/>
      <w:bookmarkStart w:id="1" w:name="_Toc211614078"/>
      <w:r/>
      <w:bookmarkStart w:id="2" w:name="_Toc243212866"/>
      <w:r/>
      <w:bookmarkStart w:id="3" w:name="_Toc274130218"/>
      <w:r/>
      <w:bookmarkStart w:id="4" w:name="_Toc274756246"/>
      <w:r/>
      <w:bookmarkStart w:id="5" w:name="_Toc306095234"/>
      <w:r/>
      <w:bookmarkStart w:id="6" w:name="_Toc337909488"/>
      <w:r/>
      <w:bookmarkStart w:id="7" w:name="_Toc369084246"/>
      <w:r/>
      <w:bookmarkStart w:id="8" w:name="_Toc370120587"/>
      <w:r>
        <w:rPr>
          <w:b/>
          <w:i/>
          <w:spacing w:val="4"/>
          <w:sz w:val="26"/>
          <w:szCs w:val="26"/>
          <w:u w:val="single"/>
        </w:rPr>
        <w:t xml:space="preserve">Акцизы по подакцизным товарам (продукции), производимым на территории Российской Федерации</w:t>
      </w:r>
      <w:bookmarkEnd w:id="0"/>
      <w:r/>
      <w:bookmarkEnd w:id="1"/>
      <w:r/>
      <w:bookmarkEnd w:id="2"/>
      <w:r/>
      <w:bookmarkEnd w:id="3"/>
      <w:r/>
      <w:bookmarkEnd w:id="4"/>
      <w:r/>
      <w:bookmarkEnd w:id="5"/>
      <w:r/>
      <w:bookmarkEnd w:id="6"/>
      <w:r/>
      <w:bookmarkEnd w:id="7"/>
      <w:r/>
      <w:bookmarkEnd w:id="8"/>
      <w:r/>
      <w:r>
        <w:rPr>
          <w:b/>
          <w:i/>
          <w:spacing w:val="4"/>
          <w:sz w:val="26"/>
          <w:szCs w:val="26"/>
          <w:u w:val="single"/>
        </w:rPr>
      </w:r>
    </w:p>
    <w:p>
      <w:pPr>
        <w:ind w:firstLine="741"/>
        <w:jc w:val="both"/>
        <w:spacing w:before="120" w:after="120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179.4 Бюджетного кодекса Российской Федерации в муниципальном округе создан дорожный фонд муниципального округа. 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Одним из источников доходов дорожного фонда муниципального округа на 2026 год и плановый период 2027-2028 годов являются отчисления по дифференцированному нормативу от акцизов на автомобиль</w:t>
      </w:r>
      <w:r>
        <w:rPr>
          <w:sz w:val="26"/>
          <w:szCs w:val="26"/>
        </w:rPr>
        <w:t xml:space="preserve">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(далее – акцизов на ГСМ), подлежащих зачислению в бюджет муниципального округа. 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Размер указанных дифференцированных нормативов отчислений в бюджет муниципального округа устанавливается исходя из протяженности автомобильных дорог муниципального округа, находящихся в собственности. 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Норматив отчислений доходов от акцизов на ГСМ для муниципального округа по расчетам министерства финансов Красноярского края составляет - 1,1929%.</w:t>
      </w:r>
      <w:r>
        <w:rPr>
          <w:sz w:val="26"/>
          <w:szCs w:val="26"/>
        </w:rPr>
      </w:r>
    </w:p>
    <w:p>
      <w:pPr>
        <w:ind w:firstLine="697"/>
        <w:jc w:val="both"/>
        <w:spacing w:after="120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Объемные показатели поступления акцизов на ГСМ в бюджет муниципального округа определены министерством финансов Красноярского края и составляют соответственно по кодам бюджетной классификации:</w:t>
      </w:r>
      <w:r>
        <w:rPr>
          <w:sz w:val="26"/>
          <w:szCs w:val="26"/>
        </w:rPr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78"/>
        <w:gridCol w:w="1134"/>
        <w:gridCol w:w="1134"/>
        <w:gridCol w:w="1134"/>
      </w:tblGrid>
      <w:tr>
        <w:tblPrEx/>
        <w:trPr>
          <w:trHeight w:val="3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Наименование показателя - КБК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Сумма, тыс. руб.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50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7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                   2026 год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            2027 год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           2028 год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12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78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- КБК 100 1 03 02230 01 0000 110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17 749,70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18 459,69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19 198,08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15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78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моторные масла для дизельных</w:t>
            </w:r>
            <w:r>
              <w:rPr>
                <w:sz w:val="22"/>
                <w:szCs w:val="22"/>
                <w:lang w:eastAsia="ru-RU"/>
              </w:rPr>
              <w:t xml:space="preserve">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- КБК 100 1 03 02240 01 0000 110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84,20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87,56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91,07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12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78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</w:t>
            </w:r>
            <w:r>
              <w:rPr>
                <w:sz w:val="22"/>
                <w:szCs w:val="22"/>
                <w:lang w:eastAsia="ru-RU"/>
              </w:rPr>
              <w:t xml:space="preserve">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- КБК 100 1 03 02250 01 0000 110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17 745,00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18 454,80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19 192,99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12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78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- КБК 100 103 02260 01 0000 110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-1 311,10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-1 363,54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-1 418,09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7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ИТОГО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34 267,80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35 638,51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37 064,05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</w:tr>
    </w:tbl>
    <w:p>
      <w:pPr>
        <w:jc w:val="both"/>
        <w:spacing w:after="120"/>
        <w:rPr>
          <w:sz w:val="10"/>
          <w:szCs w:val="10"/>
        </w:rPr>
      </w:pPr>
      <w:r>
        <w:rPr>
          <w:sz w:val="10"/>
          <w:szCs w:val="10"/>
        </w:rPr>
      </w:r>
      <w:r>
        <w:rPr>
          <w:sz w:val="10"/>
          <w:szCs w:val="10"/>
        </w:rPr>
      </w:r>
    </w:p>
    <w:p>
      <w:pPr>
        <w:ind w:firstLine="720"/>
        <w:jc w:val="both"/>
        <w:spacing w:after="120"/>
        <w:rPr>
          <w:b/>
          <w:i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  <w:t xml:space="preserve">Налоги на совокупный доход </w:t>
      </w:r>
      <w:r>
        <w:rPr>
          <w:b/>
          <w:i/>
          <w:sz w:val="26"/>
          <w:szCs w:val="26"/>
          <w:u w:val="single"/>
        </w:rPr>
      </w:r>
    </w:p>
    <w:p>
      <w:pPr>
        <w:ind w:firstLine="709"/>
        <w:jc w:val="both"/>
        <w:spacing w:after="120"/>
        <w:tabs>
          <w:tab w:val="num" w:pos="0" w:leader="none"/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Расчет суммы </w:t>
      </w:r>
      <w:r>
        <w:rPr>
          <w:i/>
          <w:sz w:val="26"/>
          <w:szCs w:val="26"/>
        </w:rPr>
        <w:t xml:space="preserve">налога, взимаемого </w:t>
      </w:r>
      <w:r>
        <w:rPr>
          <w:sz w:val="26"/>
          <w:szCs w:val="26"/>
        </w:rPr>
        <w:t xml:space="preserve">в связи с применением упрощенной системы налогообложения </w:t>
      </w:r>
      <w:r>
        <w:rPr>
          <w:iCs/>
          <w:sz w:val="26"/>
          <w:szCs w:val="26"/>
        </w:rPr>
        <w:t xml:space="preserve">(далее - УСН)</w:t>
      </w:r>
      <w:r>
        <w:rPr>
          <w:sz w:val="26"/>
          <w:szCs w:val="26"/>
        </w:rPr>
        <w:t xml:space="preserve">, на 2026–2028 годы произведен на основании информации УФНС по краю по форме №5-УСН </w:t>
      </w:r>
      <w:r>
        <w:rPr>
          <w:spacing w:val="4"/>
          <w:sz w:val="26"/>
          <w:szCs w:val="26"/>
        </w:rPr>
        <w:t xml:space="preserve">«Отчет о налоговой базе и структуре начислений по налогу, уплачиваемому в связи с применением упрощенной системы </w:t>
      </w:r>
      <w:r>
        <w:rPr>
          <w:spacing w:val="4"/>
          <w:sz w:val="26"/>
          <w:szCs w:val="26"/>
        </w:rPr>
        <w:t xml:space="preserve">налогообложения» по итогам 2024 года </w:t>
      </w:r>
      <w:r>
        <w:rPr>
          <w:sz w:val="26"/>
          <w:szCs w:val="26"/>
        </w:rPr>
        <w:t xml:space="preserve">и показателей деятельности субъектов малого предпринимательства, применяющих упрощенную систему налогообложения</w:t>
      </w:r>
      <w:r>
        <w:rPr>
          <w:spacing w:val="4"/>
          <w:sz w:val="26"/>
          <w:szCs w:val="26"/>
        </w:rPr>
        <w:t xml:space="preserve">. </w:t>
      </w:r>
      <w:r>
        <w:rPr>
          <w:sz w:val="26"/>
          <w:szCs w:val="26"/>
        </w:rPr>
      </w:r>
    </w:p>
    <w:p>
      <w:pPr>
        <w:ind w:firstLine="709"/>
        <w:jc w:val="both"/>
        <w:spacing w:before="120" w:after="120"/>
        <w:tabs>
          <w:tab w:val="num" w:pos="0" w:leader="none"/>
          <w:tab w:val="num" w:pos="709" w:leader="none"/>
        </w:tabs>
        <w:rPr>
          <w:sz w:val="26"/>
          <w:szCs w:val="26"/>
          <w:lang w:eastAsia="ru-RU"/>
        </w:rPr>
      </w:pPr>
      <w:r>
        <w:rPr>
          <w:sz w:val="26"/>
          <w:szCs w:val="26"/>
        </w:rPr>
        <w:t xml:space="preserve">При определении объема поступления УСН, взимаемого с налогоплательщиков, выбравших в качестве объекта налогообложения </w:t>
      </w:r>
      <w:r>
        <w:rPr>
          <w:i/>
          <w:sz w:val="26"/>
          <w:szCs w:val="26"/>
        </w:rPr>
        <w:t xml:space="preserve">доходы</w:t>
      </w:r>
      <w:r>
        <w:rPr>
          <w:sz w:val="26"/>
          <w:szCs w:val="26"/>
        </w:rPr>
        <w:t xml:space="preserve">, и УСН, взимаемого с налогоплательщиков, выбравших в качестве объекта налогообложения </w:t>
      </w:r>
      <w:r>
        <w:rPr>
          <w:i/>
          <w:sz w:val="26"/>
          <w:szCs w:val="26"/>
        </w:rPr>
        <w:t xml:space="preserve">доходы, уменьшенные на величину расходов</w:t>
      </w:r>
      <w:r>
        <w:rPr>
          <w:sz w:val="26"/>
          <w:szCs w:val="26"/>
        </w:rPr>
        <w:t xml:space="preserve"> (в том числе минимального налога, зачисляемого в бюджеты субъектов Российской Федерации), произведен исходя из прогнозируемого объема налоговой базы, определенного с учетом оценки налоговой базы в 2025 году и применения </w:t>
      </w:r>
      <w:r>
        <w:rPr>
          <w:sz w:val="26"/>
          <w:szCs w:val="26"/>
        </w:rPr>
        <w:t xml:space="preserve">среднегодовых индексов потребительских цен. Учтено в 2026–2028 годах погашение недоимки ежегодно в размере 15% от величины недоимки по состоянию на 01.07.2025 года и уровня собираемости в размере 99,0% в 2026 году, 99,1% – в 2027 году, 99,2% – в 2028 году </w:t>
      </w:r>
      <w:r>
        <w:rPr>
          <w:sz w:val="26"/>
          <w:szCs w:val="26"/>
          <w:lang w:eastAsia="ru-RU"/>
        </w:rPr>
        <w:t xml:space="preserve">по объекту налогообложения «</w:t>
      </w:r>
      <w:r>
        <w:rPr>
          <w:i/>
          <w:sz w:val="26"/>
          <w:szCs w:val="26"/>
          <w:lang w:eastAsia="ru-RU"/>
        </w:rPr>
        <w:t xml:space="preserve">доходы</w:t>
      </w:r>
      <w:r>
        <w:rPr>
          <w:sz w:val="26"/>
          <w:szCs w:val="26"/>
          <w:lang w:eastAsia="ru-RU"/>
        </w:rPr>
        <w:t xml:space="preserve">» и 97,9% в 2026 году, 98,1% в 2027 году, 98,3% в 2028 году по объекту налогообложения «</w:t>
      </w:r>
      <w:r>
        <w:rPr>
          <w:i/>
          <w:sz w:val="26"/>
          <w:szCs w:val="26"/>
          <w:lang w:eastAsia="ru-RU"/>
        </w:rPr>
        <w:t xml:space="preserve">доходы, уменьшенные на величину расходов</w:t>
      </w:r>
      <w:r>
        <w:rPr>
          <w:sz w:val="26"/>
          <w:szCs w:val="26"/>
          <w:lang w:eastAsia="ru-RU"/>
        </w:rPr>
        <w:t xml:space="preserve">». </w:t>
      </w:r>
      <w:r>
        <w:rPr>
          <w:sz w:val="26"/>
          <w:szCs w:val="26"/>
          <w:lang w:eastAsia="ru-RU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Таким образом, объем поступления </w:t>
      </w:r>
      <w:r>
        <w:rPr>
          <w:iCs/>
          <w:sz w:val="26"/>
          <w:szCs w:val="26"/>
        </w:rPr>
        <w:t xml:space="preserve">налога, взимаемого в связи с применением УСН</w:t>
      </w:r>
      <w:r>
        <w:rPr>
          <w:sz w:val="26"/>
          <w:szCs w:val="26"/>
        </w:rPr>
        <w:t xml:space="preserve"> в бюджет муниципального округа определен в следующих размерах:</w:t>
      </w:r>
      <w:r>
        <w:rPr>
          <w:sz w:val="26"/>
          <w:szCs w:val="26"/>
        </w:rPr>
      </w:r>
    </w:p>
    <w:p>
      <w:pPr>
        <w:ind w:firstLine="720"/>
        <w:jc w:val="both"/>
        <w:rPr>
          <w:sz w:val="10"/>
          <w:szCs w:val="10"/>
        </w:rPr>
      </w:pPr>
      <w:r>
        <w:rPr>
          <w:sz w:val="10"/>
          <w:szCs w:val="10"/>
        </w:rPr>
      </w:r>
      <w:r>
        <w:rPr>
          <w:sz w:val="10"/>
          <w:szCs w:val="10"/>
        </w:rPr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52"/>
        <w:gridCol w:w="1276"/>
        <w:gridCol w:w="1346"/>
        <w:gridCol w:w="1206"/>
      </w:tblGrid>
      <w:tr>
        <w:tblPrEx/>
        <w:trPr>
          <w:trHeight w:val="3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Наименование показателя - КБК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Сумма, тыс. руб.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52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                   2026 год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            2027 год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0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        2028 год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52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</w:t>
            </w:r>
            <w:r>
              <w:rPr>
                <w:sz w:val="22"/>
                <w:szCs w:val="22"/>
                <w:lang w:eastAsia="ru-RU"/>
              </w:rPr>
              <w:t xml:space="preserve">налогообложения  доходы</w:t>
            </w:r>
            <w:r>
              <w:rPr>
                <w:sz w:val="22"/>
                <w:szCs w:val="22"/>
                <w:lang w:eastAsia="ru-RU"/>
              </w:rPr>
              <w:t xml:space="preserve">,  </w:t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КБК 182 1 05 01011 01 0000 110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143 327,79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149 204,23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0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155 172,40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12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52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Федерации),</w:t>
            </w:r>
            <w:r>
              <w:rPr>
                <w:sz w:val="22"/>
                <w:szCs w:val="22"/>
                <w:lang w:eastAsia="ru-RU"/>
              </w:rPr>
            </w:r>
          </w:p>
          <w:p>
            <w:pPr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КБК 182 1 05 01021 01 0000 110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40 645,21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42 311,66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0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44 004,13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ИТОГО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183 973,0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191 515,89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0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199 176,53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</w:tr>
    </w:tbl>
    <w:p>
      <w:pPr>
        <w:ind w:firstLine="720"/>
        <w:jc w:val="both"/>
        <w:spacing w:after="120"/>
        <w:rPr>
          <w:sz w:val="10"/>
          <w:szCs w:val="10"/>
        </w:rPr>
      </w:pPr>
      <w:r>
        <w:rPr>
          <w:sz w:val="10"/>
          <w:szCs w:val="10"/>
        </w:rPr>
      </w:r>
      <w:r>
        <w:rPr>
          <w:sz w:val="10"/>
          <w:szCs w:val="10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Расчет суммы по вышеуказанным КБК представлен в </w:t>
      </w:r>
      <w:r>
        <w:rPr>
          <w:b/>
          <w:sz w:val="26"/>
          <w:szCs w:val="26"/>
        </w:rPr>
        <w:t xml:space="preserve">Приложениях №4 и №5</w:t>
      </w:r>
      <w:r>
        <w:rPr>
          <w:sz w:val="26"/>
          <w:szCs w:val="26"/>
        </w:rPr>
        <w:t xml:space="preserve"> к Пояснительной записке.</w:t>
      </w:r>
      <w:r>
        <w:rPr>
          <w:sz w:val="26"/>
          <w:szCs w:val="26"/>
        </w:rPr>
      </w:r>
    </w:p>
    <w:p>
      <w:pPr>
        <w:ind w:firstLine="709"/>
        <w:jc w:val="both"/>
        <w:spacing w:before="120" w:after="120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 расчете суммы прогнозируемого поступления единого сельскохозяйственного налога (далее - ЕСХН) использовались следующие исходные данные: </w:t>
      </w:r>
      <w:r>
        <w:rPr>
          <w:sz w:val="26"/>
          <w:szCs w:val="26"/>
        </w:rPr>
      </w:r>
    </w:p>
    <w:p>
      <w:pPr>
        <w:numPr>
          <w:ilvl w:val="0"/>
          <w:numId w:val="4"/>
        </w:numPr>
        <w:ind w:left="0" w:firstLine="720"/>
        <w:jc w:val="both"/>
        <w:spacing w:after="120"/>
        <w:tabs>
          <w:tab w:val="num" w:pos="0" w:leader="none"/>
          <w:tab w:val="left" w:pos="900" w:leader="none"/>
          <w:tab w:val="left" w:pos="1080" w:leader="none"/>
          <w:tab w:val="left" w:pos="1134" w:leader="none"/>
          <w:tab w:val="clear" w:pos="1620" w:leader="none"/>
          <w:tab w:val="num" w:pos="39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отчетные данные налогового органа, предоставляемые в соответствии с приказом №65н;</w:t>
      </w:r>
      <w:r>
        <w:rPr>
          <w:sz w:val="26"/>
          <w:szCs w:val="26"/>
        </w:rPr>
      </w:r>
    </w:p>
    <w:p>
      <w:pPr>
        <w:numPr>
          <w:ilvl w:val="0"/>
          <w:numId w:val="4"/>
        </w:numPr>
        <w:ind w:left="0" w:firstLine="720"/>
        <w:jc w:val="both"/>
        <w:spacing w:after="120"/>
        <w:tabs>
          <w:tab w:val="num" w:pos="0" w:leader="none"/>
          <w:tab w:val="left" w:pos="900" w:leader="none"/>
          <w:tab w:val="left" w:pos="1080" w:leader="none"/>
          <w:tab w:val="left" w:pos="1134" w:leader="none"/>
          <w:tab w:val="clear" w:pos="1620" w:leader="none"/>
          <w:tab w:val="num" w:pos="39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отчет налогового органа </w:t>
      </w:r>
      <w:r>
        <w:rPr>
          <w:spacing w:val="4"/>
          <w:sz w:val="26"/>
          <w:szCs w:val="26"/>
        </w:rPr>
        <w:t xml:space="preserve">по форме № 5-ЕСХН «Отчет о налоговой базе и структуре начислений по единому сельскохозяйственному налогу» за 2024 год;</w:t>
      </w:r>
      <w:r>
        <w:rPr>
          <w:sz w:val="26"/>
          <w:szCs w:val="26"/>
        </w:rPr>
      </w:r>
    </w:p>
    <w:p>
      <w:pPr>
        <w:numPr>
          <w:ilvl w:val="0"/>
          <w:numId w:val="4"/>
        </w:numPr>
        <w:ind w:left="0" w:firstLine="720"/>
        <w:jc w:val="both"/>
        <w:spacing w:after="120"/>
        <w:tabs>
          <w:tab w:val="num" w:pos="0" w:leader="none"/>
          <w:tab w:val="left" w:pos="900" w:leader="none"/>
          <w:tab w:val="left" w:pos="1080" w:leader="none"/>
          <w:tab w:val="clear" w:pos="1620" w:leader="none"/>
          <w:tab w:val="num" w:pos="39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оценка исполнения 2025 года.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При определении объема поступления ЕСХН) применен и</w:t>
      </w:r>
      <w:r>
        <w:rPr>
          <w:sz w:val="26"/>
          <w:szCs w:val="26"/>
        </w:rPr>
        <w:t xml:space="preserve">ндекс производства по разделу «Сельское, лесное хозяйство, охота, рыболовство и рыбоводство»: в 2026 году – 105,89%, в 2027 году –107,79%, в 2028 году – 107,60%,  учтен норматив отчислений в бюджет муниципального округа по ЕСХН - в размере 100%, погашения </w:t>
      </w:r>
      <w:r>
        <w:rPr>
          <w:bCs/>
          <w:sz w:val="26"/>
          <w:szCs w:val="26"/>
        </w:rPr>
        <w:t xml:space="preserve">недоимки по состоянию на 01.07.2025 в размере 20% ежегодно</w:t>
      </w:r>
      <w:r>
        <w:rPr>
          <w:sz w:val="26"/>
          <w:szCs w:val="26"/>
        </w:rPr>
        <w:t xml:space="preserve"> и уровня собираемости налога в размере 99,6%, 99,7% и 99,8% в 2026, 2027 и 2028 годах соответственно.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Таким образом, объем поступлений ЕСХН в бюджет муниципального округа определен на 2026</w:t>
      </w:r>
      <w:r>
        <w:rPr>
          <w:sz w:val="26"/>
          <w:szCs w:val="26"/>
          <w:lang w:val="en-US"/>
        </w:rPr>
        <w:t xml:space="preserve"> </w:t>
      </w:r>
      <w:r>
        <w:rPr>
          <w:sz w:val="26"/>
          <w:szCs w:val="26"/>
        </w:rPr>
        <w:t xml:space="preserve">год – 1 388,98 тыс. рублей, на 2027 и 2028 годы – 1497,18 тыс. рублей и 1 610,97 тыс. рублей соответственно. 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Расчет суммы ЕСХН представлен в </w:t>
      </w:r>
      <w:r>
        <w:rPr>
          <w:b/>
          <w:sz w:val="26"/>
          <w:szCs w:val="26"/>
        </w:rPr>
        <w:t xml:space="preserve">Приложении №6</w:t>
      </w:r>
      <w:r>
        <w:rPr>
          <w:sz w:val="26"/>
          <w:szCs w:val="26"/>
        </w:rPr>
        <w:t xml:space="preserve"> к Пояснительной записке.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При расчете суммы налога, взимаемого в связи с применением </w:t>
      </w:r>
      <w:r>
        <w:rPr>
          <w:sz w:val="26"/>
          <w:szCs w:val="26"/>
        </w:rPr>
        <w:t xml:space="preserve">патентной системы налогообложения</w:t>
      </w:r>
      <w:r>
        <w:rPr>
          <w:sz w:val="26"/>
          <w:szCs w:val="26"/>
        </w:rPr>
        <w:t xml:space="preserve"> использовались следующие исходные данные: </w:t>
      </w:r>
      <w:r>
        <w:rPr>
          <w:sz w:val="26"/>
          <w:szCs w:val="26"/>
        </w:rPr>
      </w:r>
    </w:p>
    <w:p>
      <w:pPr>
        <w:numPr>
          <w:ilvl w:val="0"/>
          <w:numId w:val="4"/>
        </w:numPr>
        <w:ind w:left="0" w:firstLine="720"/>
        <w:jc w:val="both"/>
        <w:spacing w:after="120"/>
        <w:tabs>
          <w:tab w:val="num" w:pos="0" w:leader="none"/>
          <w:tab w:val="left" w:pos="900" w:leader="none"/>
          <w:tab w:val="left" w:pos="1080" w:leader="none"/>
          <w:tab w:val="left" w:pos="1134" w:leader="none"/>
          <w:tab w:val="clear" w:pos="1620" w:leader="none"/>
          <w:tab w:val="num" w:pos="39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отчет налогового органа </w:t>
      </w:r>
      <w:r>
        <w:rPr>
          <w:spacing w:val="4"/>
          <w:sz w:val="26"/>
          <w:szCs w:val="26"/>
        </w:rPr>
        <w:t xml:space="preserve">по форме № 1-Патент «</w:t>
      </w:r>
      <w:r>
        <w:rPr>
          <w:sz w:val="26"/>
          <w:szCs w:val="26"/>
        </w:rPr>
        <w:t xml:space="preserve">О количестве индивидуальных предпринимателей, применяющих патентную систему налогообложения, и выданны</w:t>
      </w:r>
      <w:r>
        <w:rPr>
          <w:sz w:val="26"/>
          <w:szCs w:val="26"/>
        </w:rPr>
        <w:t xml:space="preserve">х патентов на право применения патентной системы налогообложения в разрезе видов предпринимательской деятельности» по состоянию на 01.07.2025 года с учетом подлежащих уплате страховых взносов, уменьшающих стоимость патента и уровня собираемости налога 100%</w:t>
      </w:r>
      <w:r>
        <w:rPr>
          <w:spacing w:val="4"/>
          <w:sz w:val="26"/>
          <w:szCs w:val="26"/>
        </w:rPr>
        <w:t xml:space="preserve">;</w:t>
      </w:r>
      <w:r>
        <w:rPr>
          <w:sz w:val="26"/>
          <w:szCs w:val="26"/>
        </w:rPr>
      </w:r>
    </w:p>
    <w:p>
      <w:pPr>
        <w:numPr>
          <w:ilvl w:val="0"/>
          <w:numId w:val="4"/>
        </w:numPr>
        <w:ind w:left="0" w:firstLine="720"/>
        <w:jc w:val="both"/>
        <w:spacing w:after="120"/>
        <w:tabs>
          <w:tab w:val="num" w:pos="0" w:leader="none"/>
          <w:tab w:val="left" w:pos="900" w:leader="none"/>
          <w:tab w:val="left" w:pos="1080" w:leader="none"/>
          <w:tab w:val="clear" w:pos="1620" w:leader="none"/>
          <w:tab w:val="num" w:pos="39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оценка исполнения 2025 года.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При определении объема учтен ежегодный рост размера потенциально возможного к получению индивидуальным предпринимателем годового дохода на индекс потребительских цен по РФ в 2026 году – 105,4%, в 2027 – 2028 годах – 104% ежегодно, </w:t>
      </w:r>
      <w:r>
        <w:rPr>
          <w:rFonts w:eastAsia="Calibri"/>
          <w:sz w:val="26"/>
          <w:szCs w:val="26"/>
          <w:lang w:eastAsia="en-US"/>
        </w:rPr>
        <w:t xml:space="preserve">прогнозируемого изменения количества выданных патентов и </w:t>
      </w:r>
      <w:r>
        <w:rPr>
          <w:sz w:val="26"/>
          <w:szCs w:val="26"/>
        </w:rPr>
        <w:t xml:space="preserve">норматива отчисления в  бюджет муниципального округа в размере 100% и уровня собираемости налога 100%.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Таким образом, объем поступлений на</w:t>
      </w:r>
      <w:r>
        <w:rPr>
          <w:sz w:val="26"/>
          <w:szCs w:val="26"/>
        </w:rPr>
        <w:t xml:space="preserve">лога, взимаемого в связи с применением патентной системы налогообложения в бюджет муниципального округа определен на 2026 год – 13 209,00 тыс. рублей, на 2027 и 2028 годы – 13 737,36 тыс. рублей и                       14 286,85 тыс. рублей соответственно.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b/>
          <w:i/>
          <w:sz w:val="26"/>
          <w:szCs w:val="26"/>
          <w:u w:val="single"/>
        </w:rPr>
      </w:pPr>
      <w:r/>
      <w:bookmarkStart w:id="9" w:name="_Toc148260926"/>
      <w:r/>
      <w:bookmarkStart w:id="10" w:name="_Toc148261005"/>
      <w:r/>
      <w:bookmarkStart w:id="11" w:name="_Toc148262140"/>
      <w:r>
        <w:rPr>
          <w:b/>
          <w:i/>
          <w:sz w:val="26"/>
          <w:szCs w:val="26"/>
          <w:u w:val="single"/>
        </w:rPr>
        <w:t xml:space="preserve">Налог на имущество физических лиц и земельный налог</w:t>
      </w:r>
      <w:r>
        <w:rPr>
          <w:b/>
          <w:i/>
          <w:sz w:val="26"/>
          <w:szCs w:val="26"/>
          <w:u w:val="single"/>
        </w:rPr>
      </w:r>
    </w:p>
    <w:p>
      <w:pPr>
        <w:pStyle w:val="1205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Расчет суммы </w:t>
      </w:r>
      <w:r>
        <w:rPr>
          <w:iCs/>
          <w:color w:val="auto"/>
          <w:sz w:val="26"/>
          <w:szCs w:val="26"/>
        </w:rPr>
        <w:t xml:space="preserve">налога на имущество физических лиц</w:t>
      </w:r>
      <w:r>
        <w:rPr>
          <w:i/>
          <w:iCs/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произведен на основе:</w:t>
      </w:r>
      <w:r>
        <w:rPr>
          <w:color w:val="auto"/>
          <w:sz w:val="26"/>
          <w:szCs w:val="26"/>
        </w:rPr>
      </w:r>
    </w:p>
    <w:p>
      <w:pPr>
        <w:pStyle w:val="1205"/>
        <w:numPr>
          <w:ilvl w:val="0"/>
          <w:numId w:val="12"/>
        </w:numPr>
        <w:ind w:left="0" w:firstLine="709"/>
        <w:jc w:val="both"/>
        <w:tabs>
          <w:tab w:val="left" w:pos="993" w:leader="none"/>
        </w:tabs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отчета налогового органа </w:t>
      </w:r>
      <w:r>
        <w:rPr>
          <w:color w:val="auto"/>
          <w:spacing w:val="4"/>
          <w:sz w:val="26"/>
          <w:szCs w:val="26"/>
        </w:rPr>
        <w:t xml:space="preserve">по форме </w:t>
      </w:r>
      <w:r>
        <w:rPr>
          <w:color w:val="auto"/>
          <w:sz w:val="26"/>
          <w:szCs w:val="26"/>
        </w:rPr>
        <w:t xml:space="preserve">№ 5- МН «Отчет о налоговой базе и структуре начислений по местным налогам» за 2024 год (далее – отчет по форме № 5-МН за 2024 год);</w:t>
      </w:r>
      <w:r>
        <w:rPr>
          <w:color w:val="auto"/>
          <w:sz w:val="26"/>
          <w:szCs w:val="26"/>
        </w:rPr>
      </w:r>
    </w:p>
    <w:p>
      <w:pPr>
        <w:pStyle w:val="1205"/>
        <w:numPr>
          <w:ilvl w:val="0"/>
          <w:numId w:val="12"/>
        </w:numPr>
        <w:ind w:left="0" w:firstLine="709"/>
        <w:jc w:val="both"/>
        <w:tabs>
          <w:tab w:val="left" w:pos="993" w:leader="none"/>
        </w:tabs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оценки исполнения 2025 года;</w:t>
      </w:r>
      <w:r>
        <w:rPr>
          <w:color w:val="auto"/>
          <w:sz w:val="26"/>
          <w:szCs w:val="26"/>
        </w:rPr>
      </w:r>
    </w:p>
    <w:p>
      <w:pPr>
        <w:pStyle w:val="1205"/>
        <w:numPr>
          <w:ilvl w:val="0"/>
          <w:numId w:val="12"/>
        </w:numPr>
        <w:ind w:left="0" w:firstLine="709"/>
        <w:jc w:val="both"/>
        <w:tabs>
          <w:tab w:val="left" w:pos="993" w:leader="none"/>
        </w:tabs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расчетного уровня собираемости – 100% и погашения недоимки в размере 5% от ее величины по состоянию на 01.07.2025 года ежегодно. </w:t>
      </w:r>
      <w:r>
        <w:rPr>
          <w:color w:val="auto"/>
          <w:sz w:val="26"/>
          <w:szCs w:val="26"/>
        </w:rPr>
      </w:r>
    </w:p>
    <w:p>
      <w:pPr>
        <w:pStyle w:val="1205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Расчет суммы </w:t>
      </w:r>
      <w:r>
        <w:rPr>
          <w:i/>
          <w:iCs/>
          <w:color w:val="auto"/>
          <w:sz w:val="26"/>
          <w:szCs w:val="26"/>
        </w:rPr>
        <w:t xml:space="preserve">земельного налога с организаций </w:t>
      </w:r>
      <w:r>
        <w:rPr>
          <w:color w:val="auto"/>
          <w:sz w:val="26"/>
          <w:szCs w:val="26"/>
        </w:rPr>
        <w:t xml:space="preserve">произведен исходя из информации о фактически поступивших суммах налога за отчетные периоды 2025 года с учетом погашения недоимки в размере 5% от ее величины по состоянию на 01.07.2025 года ежегодно. </w:t>
      </w:r>
      <w:r>
        <w:rPr>
          <w:color w:val="auto"/>
          <w:sz w:val="26"/>
          <w:szCs w:val="26"/>
        </w:rPr>
      </w:r>
    </w:p>
    <w:p>
      <w:pPr>
        <w:pStyle w:val="1205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Расчет суммы </w:t>
      </w:r>
      <w:r>
        <w:rPr>
          <w:i/>
          <w:iCs/>
          <w:color w:val="auto"/>
          <w:sz w:val="26"/>
          <w:szCs w:val="26"/>
        </w:rPr>
        <w:t xml:space="preserve">земельного налога с физических лиц </w:t>
      </w:r>
      <w:r>
        <w:rPr>
          <w:color w:val="auto"/>
          <w:sz w:val="26"/>
          <w:szCs w:val="26"/>
        </w:rPr>
        <w:t xml:space="preserve">произведен с учетом отчета по форме № 5-МН за 2024 год, оценки исполнения 2025 года с применением расчетного уровня собираемости – 100% и погашения недоимки в размере 5% от ее величины по состоянию на 01.07.2025 года ежегодно.</w:t>
      </w:r>
      <w:r>
        <w:rPr>
          <w:color w:val="auto"/>
          <w:sz w:val="26"/>
          <w:szCs w:val="26"/>
        </w:rPr>
      </w:r>
    </w:p>
    <w:p>
      <w:pPr>
        <w:pStyle w:val="1205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п.8.1. статьи 408 Нал</w:t>
      </w:r>
      <w:r>
        <w:rPr>
          <w:color w:val="auto"/>
          <w:sz w:val="26"/>
          <w:szCs w:val="26"/>
        </w:rPr>
        <w:t xml:space="preserve">огового кодекса Российской Федерации при планировании налогов учтено применение коэффициента 1,1, ограничивающего ежегодное увеличение суммы налога, исчисленной исходя из кадастровой стоимости, не более чем на 10 процентов по сравнению с предыдущим годом. </w:t>
      </w:r>
      <w:r>
        <w:rPr>
          <w:color w:val="auto"/>
          <w:sz w:val="26"/>
          <w:szCs w:val="26"/>
        </w:rPr>
      </w:r>
    </w:p>
    <w:p>
      <w:pPr>
        <w:ind w:firstLine="720"/>
        <w:jc w:val="both"/>
        <w:tabs>
          <w:tab w:val="left" w:pos="851" w:leader="none"/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Таким образом, объем поступлений в бюджет муниципального округа:</w:t>
      </w:r>
      <w:r>
        <w:rPr>
          <w:sz w:val="26"/>
          <w:szCs w:val="26"/>
        </w:rPr>
      </w:r>
    </w:p>
    <w:p>
      <w:pPr>
        <w:pStyle w:val="1198"/>
        <w:numPr>
          <w:ilvl w:val="0"/>
          <w:numId w:val="13"/>
        </w:numPr>
        <w:ind w:left="0" w:firstLine="720"/>
        <w:jc w:val="both"/>
        <w:spacing w:after="0"/>
        <w:tabs>
          <w:tab w:val="left" w:pos="851" w:leader="none"/>
          <w:tab w:val="left" w:pos="993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налога на имущество физических лиц</w:t>
      </w:r>
      <w:r>
        <w:rPr>
          <w:rFonts w:ascii="Times New Roman" w:hAnsi="Times New Roman"/>
          <w:sz w:val="26"/>
          <w:szCs w:val="26"/>
        </w:rPr>
        <w:t xml:space="preserve"> определен на 2026</w:t>
      </w:r>
      <w:r>
        <w:rPr>
          <w:rFonts w:ascii="Times New Roman" w:hAnsi="Times New Roman"/>
          <w:sz w:val="26"/>
          <w:szCs w:val="26"/>
          <w:lang w:val="en-US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год –                               8 579,21 тыс. рублей, на 2027 и 2028 годы – 8 754,02 тыс. рублей и 8 920,09 тыс. рублей соответственно;</w:t>
      </w:r>
      <w:r>
        <w:rPr>
          <w:rFonts w:ascii="Times New Roman" w:hAnsi="Times New Roman"/>
          <w:sz w:val="26"/>
          <w:szCs w:val="26"/>
        </w:rPr>
      </w:r>
    </w:p>
    <w:p>
      <w:pPr>
        <w:pStyle w:val="1198"/>
        <w:numPr>
          <w:ilvl w:val="0"/>
          <w:numId w:val="13"/>
        </w:numPr>
        <w:ind w:left="0" w:firstLine="720"/>
        <w:spacing w:after="0"/>
        <w:tabs>
          <w:tab w:val="left" w:pos="851" w:leader="none"/>
          <w:tab w:val="left" w:pos="993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земельного налога с организаций на 2026 год – 10 645,18 тыс. рублей, на 2027 и 2028 годы – 10 649,20 тыс. рублей и 10 653,02 тыс. рублей соответственно;</w:t>
      </w:r>
      <w:r>
        <w:rPr>
          <w:rFonts w:ascii="Times New Roman" w:hAnsi="Times New Roman"/>
          <w:sz w:val="26"/>
          <w:szCs w:val="26"/>
        </w:rPr>
      </w:r>
    </w:p>
    <w:p>
      <w:pPr>
        <w:pStyle w:val="1198"/>
        <w:numPr>
          <w:ilvl w:val="0"/>
          <w:numId w:val="13"/>
        </w:numPr>
        <w:ind w:left="0" w:firstLine="720"/>
        <w:spacing w:after="0"/>
        <w:tabs>
          <w:tab w:val="left" w:pos="993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земельного налога с физических лиц на 2026 год – 975,82 тыс. рублей, на 2027 и 2028 годы – 978,28 тыс. рублей и 980,62 тыс. рублей соответственно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</w:r>
    </w:p>
    <w:p>
      <w:pPr>
        <w:ind w:firstLine="720"/>
        <w:jc w:val="both"/>
        <w:spacing w:after="120"/>
        <w:rPr>
          <w:b/>
          <w:i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  <w:t xml:space="preserve">Государственная пошлина</w:t>
      </w:r>
      <w:r>
        <w:rPr>
          <w:b/>
          <w:i/>
          <w:sz w:val="26"/>
          <w:szCs w:val="26"/>
          <w:u w:val="single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Объемы поступлений государственных пошлин на 2026 год и плановый период 2027-2028 годов определены на основе кассового исполнения доходов 2024 года, прогнозной оценки поступления в 2025 году, информации, представленной главными администраторами доходов б</w:t>
      </w:r>
      <w:r>
        <w:rPr>
          <w:sz w:val="26"/>
          <w:szCs w:val="26"/>
        </w:rPr>
        <w:t xml:space="preserve">юджета муниципального округа, с использованием при расчетах администрируемых доходов методик прогнозирования поступления доходов в бюджет муниципального округа, утвержденных нормативными актами главных администраторов доходов бюджета муниципального округа.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Таким образом, объем поступлений государственной пошлины в бюджет муниципального округа определен на 2026 год в сумме 22 945,40 тыс. рублей, на 2027 и 2028 годы – 23 828,47 тыс. рублей и 24 771,27 тыс. рублей соответственно.</w:t>
      </w:r>
      <w:bookmarkEnd w:id="9"/>
      <w:r/>
      <w:bookmarkEnd w:id="10"/>
      <w:r/>
      <w:bookmarkEnd w:id="11"/>
      <w:r/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b/>
          <w:i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  <w:t xml:space="preserve">Доходы от использования имущества, находящегося в государственной и муниципальной собственности</w:t>
      </w:r>
      <w:r>
        <w:rPr>
          <w:b/>
          <w:i/>
          <w:sz w:val="26"/>
          <w:szCs w:val="26"/>
          <w:u w:val="single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Об</w:t>
      </w:r>
      <w:r>
        <w:rPr>
          <w:sz w:val="26"/>
          <w:szCs w:val="26"/>
        </w:rPr>
        <w:t xml:space="preserve">щие объемы поступления доходов от использования имущества, находящегося в государственной и муниципальной собственности рассчитаны с использованием методик прогнозирования поступления доходов в бюджет муниципального округа, утвержденных нормативными актами</w:t>
      </w:r>
      <w:r>
        <w:rPr>
          <w:sz w:val="26"/>
          <w:szCs w:val="26"/>
        </w:rPr>
        <w:t xml:space="preserve"> главных администраторов доходов бюджета муниципального округа и определены на 2026 год – 506 119,01 тыс. рублей, 2027 и 2028 годы –                                 556 470,53 тыс. рублей и 571 218,82 тыс. рублей соответственно и включают следующие доходы: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tabs>
          <w:tab w:val="num" w:pos="0" w:leader="none"/>
        </w:tabs>
        <w:rPr>
          <w:sz w:val="26"/>
          <w:szCs w:val="26"/>
        </w:rPr>
      </w:pPr>
      <w:r/>
      <w:bookmarkStart w:id="12" w:name="_Toc148260940"/>
      <w:r/>
      <w:bookmarkStart w:id="13" w:name="_Toc148261019"/>
      <w:r/>
      <w:bookmarkStart w:id="14" w:name="_Toc148262154"/>
      <w:r>
        <w:rPr>
          <w:sz w:val="26"/>
          <w:szCs w:val="26"/>
        </w:rPr>
        <w:t xml:space="preserve">а) доходы, получаемые в виде арендной платы за земельные участки, государс</w:t>
      </w:r>
      <w:r>
        <w:rPr>
          <w:sz w:val="26"/>
          <w:szCs w:val="26"/>
        </w:rPr>
        <w:t xml:space="preserve">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по представленным сведениям главных администраторов доход</w:t>
      </w:r>
      <w:r>
        <w:rPr>
          <w:sz w:val="26"/>
          <w:szCs w:val="26"/>
        </w:rPr>
        <w:t xml:space="preserve">ов бюджета муниципального округа и с учетом норматива отчисления в  бюджет муниципального района в размере 100%, определены на 2026 год в сумме 434 775,62 тыс. рублей, на 2027 и 2028 годы – 486 659,52 тыс. рублей и                   505 040,07 тыс. рублей;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б) доходы, получаемые в виде арендной платы за земли посл</w:t>
      </w:r>
      <w:r>
        <w:rPr>
          <w:sz w:val="26"/>
          <w:szCs w:val="26"/>
        </w:rPr>
        <w:t xml:space="preserve">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 по представленным сведениям главных </w:t>
      </w:r>
      <w:r>
        <w:rPr>
          <w:sz w:val="26"/>
          <w:szCs w:val="26"/>
        </w:rPr>
        <w:t xml:space="preserve">администраторов доходов бюджета муниципального округа (Управления имущества и Администрации сельского поселения Хатанга) определены на 2026 год в сумме 1 399,96 тыс. рублей,  на 2027 и 2028 годы – 1 456,05 тыс. рублей и 1 514,29 тыс. рублей соответственно;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в)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</w:t>
      </w:r>
      <w:r>
        <w:rPr>
          <w:sz w:val="26"/>
          <w:szCs w:val="26"/>
        </w:rPr>
        <w:t xml:space="preserve">номных учреждений) по представленным сведениям главных администраторов доходов бюджета муниципального округа определены на 2026 год в сумме 766,14 тыс. рублей,  на 2027 и 2028 годы –                   767,05 тыс. рублей и 766,99 тыс. рублей соответственно;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г) доходы от сдачи в аренду имущества, составляющего казну муниципальных округов (за исключением земельных участков) по представленным сведениям главных </w:t>
      </w:r>
      <w:r>
        <w:rPr>
          <w:sz w:val="26"/>
          <w:szCs w:val="26"/>
        </w:rPr>
        <w:t xml:space="preserve">администраторов бюджета муниципального округа определены на 2026 год в сумме 44 017,63 тыс. рублей,  на 2027 и 2028 годы – 42 892,51 тыс. рублей и                                 39 716,23 тыс. рублей соответственно;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д) доходы от платы по соглашения</w:t>
      </w:r>
      <w:r>
        <w:rPr>
          <w:sz w:val="26"/>
          <w:szCs w:val="26"/>
        </w:rPr>
        <w:t xml:space="preserve">м об установлении сервитута в отношении земельных участков, находящихся в государственной или муниципальной собственности по представленным сведениям главных администраторов доходов бюджета муниципального округа  (Управления имущества и Администрации город</w:t>
      </w:r>
      <w:r>
        <w:rPr>
          <w:sz w:val="26"/>
          <w:szCs w:val="26"/>
        </w:rPr>
        <w:t xml:space="preserve">ского поселения Дудинка) определены на 2026 год – 632,64 тыс. рублей, на 2027-2028 годы – 544,01тыс. рублей и 28,32 тыс. рублей соответственно и обусловлены в основном сроком действия соглашений, в основном с АО «Восток-Ойл» и ПАО «ГМК «Норильский никель»;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е)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 образованием, по представленным сведениям главног</w:t>
      </w:r>
      <w:r>
        <w:rPr>
          <w:sz w:val="26"/>
          <w:szCs w:val="26"/>
        </w:rPr>
        <w:t xml:space="preserve">о администратора доходов бюджета муниципального округа (Управления имущества) определены на 2026 год - 901,80 тыс. рублей, на 2027 и 2028 годы – 716,00 тыс. рублей и 800,26 тыс. рублей соответственно, в расчетах учтен прогноз перечисления части прибыли от </w:t>
      </w:r>
      <w:r>
        <w:rPr>
          <w:sz w:val="26"/>
          <w:szCs w:val="26"/>
          <w:lang w:eastAsia="ru-RU"/>
        </w:rPr>
        <w:t xml:space="preserve">2-х муниципальных унитарных предприятий по которым  Таймырский Долгано-Ненецкий муниципальный округ является учредителем: </w:t>
      </w:r>
      <w:r>
        <w:rPr>
          <w:sz w:val="26"/>
          <w:szCs w:val="26"/>
        </w:rPr>
        <w:t xml:space="preserve">МП «Таймыр» и МП «</w:t>
      </w:r>
      <w:r>
        <w:rPr>
          <w:sz w:val="26"/>
          <w:szCs w:val="26"/>
        </w:rPr>
        <w:t xml:space="preserve">Таймыртопснаб</w:t>
      </w:r>
      <w:r>
        <w:rPr>
          <w:sz w:val="26"/>
          <w:szCs w:val="26"/>
        </w:rPr>
        <w:t xml:space="preserve">»;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ж)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</w:r>
      <w:bookmarkStart w:id="15" w:name="_Toc148279851"/>
      <w:r/>
      <w:bookmarkStart w:id="16" w:name="_Toc148279986"/>
      <w:r>
        <w:rPr>
          <w:sz w:val="26"/>
          <w:szCs w:val="26"/>
        </w:rPr>
        <w:t xml:space="preserve">по представленным сведениям главных администраторов доходов бюджета муниципального округа (Управления имущества, городских и сельских администраций округа) определены на 2026 год –                            23 625,21 тыс. </w:t>
      </w:r>
      <w:r>
        <w:rPr>
          <w:sz w:val="26"/>
          <w:szCs w:val="26"/>
        </w:rPr>
        <w:t xml:space="preserve">рублей, на 2027 и 2028 годы – 23 435,39 тыс. рублей и                                  23 352,65 тыс. рублей соответственно, в расчетах учтены поступления от платы за наем в отношении более 1,5 тысячи договоров служебного и коммерческого найма и погашения </w:t>
      </w:r>
      <w:r>
        <w:rPr>
          <w:bCs/>
          <w:sz w:val="26"/>
          <w:szCs w:val="26"/>
        </w:rPr>
        <w:t xml:space="preserve">недоимки в размере от 4,3%  до 10,0% ежегодно.</w:t>
      </w:r>
      <w:bookmarkStart w:id="17" w:name="_Toc148260944"/>
      <w:r/>
      <w:bookmarkStart w:id="18" w:name="_Toc148261023"/>
      <w:r/>
      <w:bookmarkStart w:id="19" w:name="_Toc148262158"/>
      <w:r/>
      <w:bookmarkEnd w:id="12"/>
      <w:r/>
      <w:bookmarkEnd w:id="13"/>
      <w:r/>
      <w:bookmarkEnd w:id="14"/>
      <w:r/>
      <w:bookmarkEnd w:id="15"/>
      <w:r/>
      <w:bookmarkEnd w:id="16"/>
      <w:r/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b/>
          <w:i/>
          <w:sz w:val="26"/>
          <w:szCs w:val="26"/>
          <w:u w:val="single"/>
        </w:rPr>
      </w:pPr>
      <w:r/>
      <w:bookmarkStart w:id="20" w:name="_Toc148260949"/>
      <w:r/>
      <w:bookmarkStart w:id="21" w:name="_Toc148261028"/>
      <w:r/>
      <w:bookmarkStart w:id="22" w:name="_Toc148262163"/>
      <w:r/>
      <w:bookmarkEnd w:id="17"/>
      <w:r/>
      <w:bookmarkEnd w:id="18"/>
      <w:r/>
      <w:bookmarkEnd w:id="19"/>
      <w:r>
        <w:rPr>
          <w:b/>
          <w:i/>
          <w:sz w:val="26"/>
          <w:szCs w:val="26"/>
          <w:u w:val="single"/>
        </w:rPr>
        <w:t xml:space="preserve">Доходы от оказания платных услуг (работ) и компенсации затрат государства</w:t>
      </w:r>
      <w:r>
        <w:rPr>
          <w:b/>
          <w:i/>
          <w:sz w:val="26"/>
          <w:szCs w:val="26"/>
          <w:u w:val="single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Общий объем поступления доходов от оказания платных услуг (работ) и </w:t>
      </w:r>
      <w:r>
        <w:rPr>
          <w:sz w:val="26"/>
          <w:szCs w:val="26"/>
        </w:rPr>
        <w:t xml:space="preserve">компенсации затрат государства рассчитан с использованием методик прогнозирования поступления доходов в бюджет муниципального округа, утвержденных нормативными актами главных администраторов доходов бюджета муниципального округа , на 2026 год в сумме 28 34</w:t>
      </w:r>
      <w:r>
        <w:rPr>
          <w:sz w:val="26"/>
          <w:szCs w:val="26"/>
        </w:rPr>
        <w:t xml:space="preserve">2,94 тыс. рублей, на 2027 и 2028 годы – 29 249,35 тыс. рублей и                                30 154,41 тыс. рублей соответственно и определен на основании представленных сведений главных администраторов доходов бюджета муниципального округа, в том числе: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а) прочие доходы от оказания платных услуг (работ) получателями                        средств бюджетов муниципальных округов определены на 2026 год в сумме            </w:t>
      </w:r>
      <w:r>
        <w:rPr>
          <w:sz w:val="26"/>
          <w:szCs w:val="26"/>
        </w:rPr>
        <w:t xml:space="preserve">                 21 782,66 тыс. рублей, на 2027 и 2028 годы – 22 689,07 тыс. рублей и                                                 23 594,13 тыс. рублей соответственно, в том числе в разрезе главных администраторов доходов бюджета муниципального округа:</w:t>
      </w:r>
      <w:r>
        <w:rPr>
          <w:sz w:val="26"/>
          <w:szCs w:val="26"/>
        </w:rPr>
      </w:r>
    </w:p>
    <w:p>
      <w:pPr>
        <w:numPr>
          <w:ilvl w:val="0"/>
          <w:numId w:val="10"/>
        </w:numPr>
        <w:ind w:left="0" w:firstLine="720"/>
        <w:jc w:val="both"/>
        <w:spacing w:after="120"/>
        <w:tabs>
          <w:tab w:val="num" w:pos="0" w:leader="none"/>
          <w:tab w:val="left" w:pos="1080" w:leader="none"/>
          <w:tab w:val="clear" w:pos="144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Администрация Таймырского Долгано-Ненецкого муниципального района      на 2026 год в сумме 3 471,20 тыс. рублей, на 2027 и 2028 годы – 3 613,50 тыс. рублей          и 3 758,10 тыс. рублей соответственно (услуги полиграфические МКУ «РПК «Таймыр» и </w:t>
      </w:r>
      <w:r>
        <w:rPr>
          <w:sz w:val="26"/>
          <w:szCs w:val="26"/>
        </w:rPr>
        <w:t xml:space="preserve">транспортные услуги по эвакуации транспортных средств эвакуатором, а также туристическим и экскурсионным группам на основе договоров);</w:t>
      </w:r>
      <w:r>
        <w:rPr>
          <w:sz w:val="26"/>
          <w:szCs w:val="26"/>
        </w:rPr>
      </w:r>
    </w:p>
    <w:p>
      <w:pPr>
        <w:numPr>
          <w:ilvl w:val="0"/>
          <w:numId w:val="10"/>
        </w:numPr>
        <w:ind w:left="0" w:firstLine="720"/>
        <w:jc w:val="both"/>
        <w:spacing w:after="120"/>
        <w:tabs>
          <w:tab w:val="num" w:pos="0" w:leader="none"/>
          <w:tab w:val="left" w:pos="1080" w:leader="none"/>
          <w:tab w:val="clear" w:pos="144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Управление образования Администрации Таймырского Долгано-Ненецкого</w:t>
      </w:r>
      <w:r>
        <w:rPr>
          <w:sz w:val="26"/>
          <w:szCs w:val="26"/>
        </w:rPr>
        <w:t xml:space="preserve"> муниципального района на 2026 год в сумме 18 311,46 тыс. рублей, на 2027 и 2028 годы – 19 075,57 тыс. рублей и 19 836,03 тыс. рублей соответственно (за содержание детей в дошкольных образовательных учреждениях и от реализации талонов на питание учащимся);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tabs>
          <w:tab w:val="left" w:pos="10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б) прочие доходы от компенсации затрат бюджетов муниципальных округов         на 2026-2028 годы запланированы в сумме 6 560,28 тыс. рублей ежегодно и </w:t>
      </w:r>
      <w:r>
        <w:rPr>
          <w:sz w:val="26"/>
          <w:szCs w:val="26"/>
        </w:rPr>
        <w:t xml:space="preserve">определены по представленным сведениям</w:t>
      </w:r>
      <w:r>
        <w:rPr>
          <w:sz w:val="26"/>
          <w:szCs w:val="26"/>
        </w:rPr>
        <w:t xml:space="preserve"> главных администраторов доходов бюджета муниципального округа, в том числе:</w:t>
      </w:r>
      <w:r>
        <w:rPr>
          <w:sz w:val="26"/>
          <w:szCs w:val="26"/>
        </w:rPr>
      </w:r>
    </w:p>
    <w:p>
      <w:pPr>
        <w:numPr>
          <w:ilvl w:val="0"/>
          <w:numId w:val="5"/>
        </w:numPr>
        <w:ind w:left="0" w:firstLine="720"/>
        <w:jc w:val="both"/>
        <w:spacing w:after="120"/>
        <w:tabs>
          <w:tab w:val="num" w:pos="0" w:leader="none"/>
          <w:tab w:val="left" w:pos="1080" w:leader="none"/>
          <w:tab w:val="clear" w:pos="144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прочие доходы по целевым средствам, поступающие в виде дебиторской задолженности прошлых </w:t>
      </w:r>
      <w:r>
        <w:rPr>
          <w:sz w:val="26"/>
          <w:szCs w:val="26"/>
        </w:rPr>
        <w:t xml:space="preserve">лет,  включают</w:t>
      </w:r>
      <w:r>
        <w:rPr>
          <w:sz w:val="26"/>
          <w:szCs w:val="26"/>
        </w:rPr>
        <w:t xml:space="preserve"> в себя поступления от: </w:t>
      </w:r>
      <w:r>
        <w:rPr>
          <w:sz w:val="26"/>
          <w:szCs w:val="26"/>
        </w:rPr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78"/>
        <w:gridCol w:w="1134"/>
        <w:gridCol w:w="1134"/>
        <w:gridCol w:w="1134"/>
      </w:tblGrid>
      <w:tr>
        <w:tblPrEx/>
        <w:trPr>
          <w:trHeight w:val="339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66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Наименование главного администратора </w:t>
            </w:r>
            <w:r>
              <w:rPr>
                <w:b/>
                <w:bCs/>
                <w:sz w:val="22"/>
                <w:szCs w:val="22"/>
                <w:lang w:eastAsia="ru-RU"/>
              </w:rPr>
              <w:br/>
              <w:t xml:space="preserve">доходов районного бюджета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Сумма, тыс. руб.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6678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на                   2026 год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на                      2027 год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на                  2028 год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78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Администрация Таймырского Долгано-Ненецкого муниципального района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1 814,10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1 814,10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1 814,10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78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Управление записи актов гражданского состояния Администрации Таймырского Долгано-Ненецкого муниципального района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3,20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34"/>
              <w:jc w:val="right"/>
              <w:tabs>
                <w:tab w:val="left" w:pos="742" w:leader="none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3,20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3,20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78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Управление образования Администрации Таймырского Долгано-Ненецкого муниципального района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351,40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351,40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351,40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9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78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Управление по делам гражданской обороны и чрезвычайным ситуациям Администрации Таймырского Долгано-Ненецкого муниципального района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13,30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13,30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13,30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7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ИТОГО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2 182,00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2 182,00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2 182,00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</w:tr>
    </w:tbl>
    <w:p>
      <w:pPr>
        <w:jc w:val="both"/>
        <w:spacing w:after="120"/>
        <w:tabs>
          <w:tab w:val="left" w:pos="1080" w:leader="none"/>
        </w:tabs>
        <w:rPr>
          <w:sz w:val="10"/>
          <w:szCs w:val="10"/>
        </w:rPr>
      </w:pPr>
      <w:r>
        <w:rPr>
          <w:sz w:val="10"/>
          <w:szCs w:val="10"/>
        </w:rPr>
      </w:r>
      <w:r>
        <w:rPr>
          <w:sz w:val="10"/>
          <w:szCs w:val="10"/>
        </w:rPr>
      </w:r>
    </w:p>
    <w:p>
      <w:pPr>
        <w:numPr>
          <w:ilvl w:val="0"/>
          <w:numId w:val="5"/>
        </w:numPr>
        <w:ind w:left="0" w:firstLine="720"/>
        <w:jc w:val="both"/>
        <w:spacing w:after="120"/>
        <w:tabs>
          <w:tab w:val="num" w:pos="0" w:leader="none"/>
          <w:tab w:val="left" w:pos="1080" w:leader="none"/>
          <w:tab w:val="clear" w:pos="144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прочие доходы, получаемые учреждениями и предприятиями муниципального округа, сформированы следующим образом: </w:t>
      </w:r>
      <w:r>
        <w:rPr>
          <w:sz w:val="26"/>
          <w:szCs w:val="26"/>
        </w:rPr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6536"/>
        <w:gridCol w:w="1224"/>
        <w:gridCol w:w="1160"/>
        <w:gridCol w:w="1160"/>
      </w:tblGrid>
      <w:tr>
        <w:tblPrEx/>
        <w:trPr>
          <w:trHeight w:val="33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Наименование главного администратора </w:t>
            </w:r>
            <w:r>
              <w:rPr>
                <w:b/>
                <w:bCs/>
                <w:sz w:val="22"/>
                <w:szCs w:val="22"/>
                <w:lang w:eastAsia="ru-RU"/>
              </w:rPr>
              <w:br/>
              <w:t xml:space="preserve">доходов районного бюджета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Сумма, тыс. руб.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36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на                   2026 год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на                      2027 год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на                  2028 год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3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Администрация Таймырского Долгано-Ненецкого муниципального района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2 230,50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2 230,50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2 230,50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3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Контрольно</w:t>
            </w:r>
            <w:r>
              <w:rPr>
                <w:sz w:val="22"/>
                <w:szCs w:val="22"/>
                <w:lang w:eastAsia="ru-RU"/>
              </w:rPr>
              <w:t xml:space="preserve"> -Счетная палата Таймырского Долгано-Ненецкого муниципального района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10,90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10,90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10,90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75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3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Управление муниципального заказа и потребительского рынка Администрации Таймырского Долгано-Ненецкого муниципального района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161,30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161,30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161,30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3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Управление имущественных отношений Таймырского Долгано-Ненецкого муниципального района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3,53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3,53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3,53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3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Управление образования Администрации Таймырского Долгано-Ненецкого муниципального района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734,74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734,74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734,74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9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3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Управление по делам гражданской обороны и чрезвычайным ситуациям Администрации Таймырского Долгано-Ненецкого муниципального района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123,16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123,16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123,16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3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Финансовое управление Администрации Таймырского Долгано-Ненецкого муниципального района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1,49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1,49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1,49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8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3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Администрация города Дудинки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74,13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74,13</w:t>
            </w:r>
            <w:r>
              <w:rPr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74,13</w:t>
            </w:r>
            <w:r>
              <w:rPr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3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ИТОГО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4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3 339,75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3 339,75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3 339,75</w:t>
            </w:r>
            <w:r>
              <w:rPr>
                <w:b/>
                <w:bCs/>
                <w:sz w:val="22"/>
                <w:szCs w:val="22"/>
                <w:lang w:eastAsia="ru-RU"/>
              </w:rPr>
            </w:r>
          </w:p>
        </w:tc>
      </w:tr>
    </w:tbl>
    <w:p>
      <w:pPr>
        <w:ind w:firstLine="720"/>
        <w:jc w:val="both"/>
        <w:spacing w:after="120"/>
        <w:rPr>
          <w:b/>
          <w:i/>
          <w:sz w:val="10"/>
          <w:szCs w:val="10"/>
          <w:u w:val="single"/>
        </w:rPr>
      </w:pPr>
      <w:r>
        <w:rPr>
          <w:b/>
          <w:i/>
          <w:sz w:val="10"/>
          <w:szCs w:val="10"/>
          <w:u w:val="single"/>
        </w:rPr>
      </w:r>
      <w:r>
        <w:rPr>
          <w:b/>
          <w:i/>
          <w:sz w:val="10"/>
          <w:szCs w:val="10"/>
          <w:u w:val="single"/>
        </w:rPr>
      </w:r>
    </w:p>
    <w:p>
      <w:pPr>
        <w:numPr>
          <w:ilvl w:val="0"/>
          <w:numId w:val="5"/>
        </w:numPr>
        <w:ind w:left="0" w:firstLine="709"/>
        <w:jc w:val="both"/>
        <w:spacing w:after="120"/>
        <w:tabs>
          <w:tab w:val="num" w:pos="0" w:leader="none"/>
          <w:tab w:val="left" w:pos="1080" w:leader="none"/>
          <w:tab w:val="clear" w:pos="144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прочие доходы в виде компенсационной стоимости за вырубку (снос) зеленых </w:t>
      </w:r>
      <w:r>
        <w:rPr>
          <w:sz w:val="26"/>
          <w:szCs w:val="26"/>
        </w:rPr>
        <w:t xml:space="preserve">насаждений по представленным сведениям</w:t>
      </w:r>
      <w:r>
        <w:rPr>
          <w:sz w:val="26"/>
          <w:szCs w:val="26"/>
        </w:rPr>
        <w:t xml:space="preserve"> главного администратора доходов бюджета муниципального округа (</w:t>
      </w:r>
      <w:r>
        <w:rPr>
          <w:sz w:val="26"/>
          <w:szCs w:val="26"/>
          <w:lang w:eastAsia="ru-RU"/>
        </w:rPr>
        <w:t xml:space="preserve">Администрации города Дудинки</w:t>
      </w:r>
      <w:r>
        <w:rPr>
          <w:sz w:val="26"/>
          <w:szCs w:val="26"/>
        </w:rPr>
        <w:t xml:space="preserve">) определены на 2026-2028 годы в сумме 1 038,53 тыс. рублей ежегодно.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b/>
          <w:i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  <w:t xml:space="preserve">Доходы от продажи материальных и нематериальных активов</w:t>
      </w:r>
      <w:r>
        <w:rPr>
          <w:b/>
          <w:i/>
          <w:sz w:val="26"/>
          <w:szCs w:val="26"/>
          <w:u w:val="single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Объемы поступления доходов от продажи квартир и иного имущества,  а также продажи земельных участков, государственная собственность на которые не разграничена и которые расположены в границах муниципальных ок</w:t>
      </w:r>
      <w:r>
        <w:rPr>
          <w:sz w:val="26"/>
          <w:szCs w:val="26"/>
        </w:rPr>
        <w:t xml:space="preserve">ругов, определены на основании представленных сведений главных администраторов доходов бюджета муниципального округа на 2026 в сумме 7 264,32 тыс. рублей, на 2027 и 2028 годы -                     6 169,78 тыс. рублей и 5 613,21 тыс. рублей соответственно.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b/>
          <w:i/>
          <w:sz w:val="26"/>
          <w:szCs w:val="26"/>
          <w:u w:val="single"/>
        </w:rPr>
      </w:pPr>
      <w:r/>
      <w:bookmarkStart w:id="23" w:name="_Toc148260954"/>
      <w:r/>
      <w:bookmarkStart w:id="24" w:name="_Toc148261033"/>
      <w:r/>
      <w:bookmarkStart w:id="25" w:name="_Toc148262168"/>
      <w:r/>
      <w:bookmarkEnd w:id="20"/>
      <w:r/>
      <w:bookmarkEnd w:id="21"/>
      <w:r/>
      <w:bookmarkEnd w:id="22"/>
      <w:r>
        <w:rPr>
          <w:b/>
          <w:i/>
          <w:sz w:val="26"/>
          <w:szCs w:val="26"/>
          <w:u w:val="single"/>
        </w:rPr>
        <w:t xml:space="preserve">Штрафы, санкции, возмещение ущерба</w:t>
      </w:r>
      <w:r>
        <w:rPr>
          <w:b/>
          <w:i/>
          <w:sz w:val="26"/>
          <w:szCs w:val="26"/>
          <w:u w:val="single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Сумма поступления штрафов, санкций, возмещения ущерба определены на 2026 год в сумме 9 294,55 тыс. рублей, на 2027 и 2028 годы – 9 360,48 тыс. рублей и                      9 333,76 тыс. рублей соответственно.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Прогнозная сумма поступлений определена на основании динамики поступления платежей за предыдущие годы, оценки 2025 года, уменьшенной </w:t>
      </w:r>
      <w:r>
        <w:rPr>
          <w:spacing w:val="4"/>
          <w:sz w:val="26"/>
          <w:szCs w:val="26"/>
        </w:rPr>
        <w:t xml:space="preserve">на крупные платежи, поступление которых носило разовый характер, а также </w:t>
      </w:r>
      <w:r>
        <w:rPr>
          <w:sz w:val="26"/>
          <w:szCs w:val="26"/>
        </w:rPr>
        <w:t xml:space="preserve">с учетом представленных данных главными администраторами доходов бюджета муниципального округа по соответствующим денежным взысканиям (штрафам).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С учетом вышеизложенного, необходимо отметить, что объем налоговых и неналоговых доходов бюджета муниципального</w:t>
      </w:r>
      <w:r>
        <w:rPr>
          <w:sz w:val="26"/>
          <w:szCs w:val="26"/>
        </w:rPr>
        <w:t xml:space="preserve"> округа на 2026 год и плановый период 2027-2028 годы сформирован в соответствии с методиками прогнозирования поступления доходов в бюджет муниципального округа, утвержденные нормативными актами главных администраторов доходов бюджета муниципального округа </w:t>
      </w:r>
      <w:r>
        <w:rPr>
          <w:bCs/>
          <w:sz w:val="26"/>
          <w:szCs w:val="26"/>
        </w:rPr>
        <w:t xml:space="preserve">с учетом использования в расчетах оценки поступления доходов в 2026 году, погашения части недоимки, уровня собираемости доходов, и использования в расчетах сводных индексов дефляторов цен, установленных в Российской Федерации и </w:t>
      </w:r>
      <w:r>
        <w:rPr>
          <w:sz w:val="26"/>
          <w:szCs w:val="26"/>
        </w:rPr>
        <w:t xml:space="preserve">Красноярском крае.</w:t>
      </w:r>
      <w:r>
        <w:rPr>
          <w:sz w:val="26"/>
          <w:szCs w:val="26"/>
        </w:rPr>
      </w:r>
    </w:p>
    <w:p>
      <w:pPr>
        <w:numPr>
          <w:ilvl w:val="0"/>
          <w:numId w:val="9"/>
        </w:numPr>
        <w:ind w:left="0" w:firstLine="709"/>
        <w:jc w:val="both"/>
        <w:spacing w:after="120"/>
        <w:tabs>
          <w:tab w:val="num" w:pos="0" w:leader="none"/>
          <w:tab w:val="clear" w:pos="720" w:leader="none"/>
          <w:tab w:val="left" w:pos="1080" w:leader="none"/>
        </w:tabs>
        <w:rPr>
          <w:sz w:val="26"/>
          <w:szCs w:val="26"/>
        </w:rPr>
      </w:pPr>
      <w:r/>
      <w:bookmarkStart w:id="26" w:name="_Toc148260957"/>
      <w:r/>
      <w:bookmarkStart w:id="27" w:name="_Toc148261036"/>
      <w:r/>
      <w:bookmarkStart w:id="28" w:name="_Toc148262171"/>
      <w:r/>
      <w:bookmarkStart w:id="29" w:name="_Toc148279877"/>
      <w:r/>
      <w:bookmarkStart w:id="30" w:name="_Toc148280012"/>
      <w:r/>
      <w:bookmarkStart w:id="31" w:name="_Toc148260959"/>
      <w:r/>
      <w:bookmarkStart w:id="32" w:name="_Toc148261038"/>
      <w:r/>
      <w:bookmarkEnd w:id="23"/>
      <w:r/>
      <w:bookmarkEnd w:id="24"/>
      <w:r/>
      <w:bookmarkEnd w:id="25"/>
      <w:r>
        <w:rPr>
          <w:b/>
          <w:sz w:val="26"/>
          <w:szCs w:val="26"/>
        </w:rPr>
        <w:t xml:space="preserve">Общий объем безвозмездных поступлений</w:t>
      </w:r>
      <w:r>
        <w:rPr>
          <w:sz w:val="26"/>
          <w:szCs w:val="26"/>
        </w:rPr>
        <w:t xml:space="preserve"> в бюджет муниципального округа определен </w:t>
      </w:r>
      <w:r>
        <w:rPr>
          <w:b/>
          <w:sz w:val="26"/>
          <w:szCs w:val="26"/>
        </w:rPr>
        <w:t xml:space="preserve">на 2026 год в сумме 8 996 233,20 тыс. рублей, на 2027 и 2028 годы –                                        8 545 462,10 тыс. рублей и 9 079 384,90 тыс. рублей</w:t>
      </w:r>
      <w:r>
        <w:rPr>
          <w:sz w:val="26"/>
          <w:szCs w:val="26"/>
        </w:rPr>
        <w:t xml:space="preserve"> соответственно, из них:</w:t>
      </w:r>
      <w:bookmarkEnd w:id="26"/>
      <w:r/>
      <w:bookmarkEnd w:id="27"/>
      <w:r/>
      <w:bookmarkEnd w:id="28"/>
      <w:r/>
      <w:bookmarkEnd w:id="29"/>
      <w:r/>
      <w:bookmarkEnd w:id="30"/>
      <w:r/>
      <w:bookmarkEnd w:id="31"/>
      <w:r/>
      <w:bookmarkEnd w:id="32"/>
      <w:r/>
      <w:r>
        <w:rPr>
          <w:sz w:val="26"/>
          <w:szCs w:val="26"/>
        </w:rPr>
      </w:r>
    </w:p>
    <w:p>
      <w:pPr>
        <w:numPr>
          <w:ilvl w:val="0"/>
          <w:numId w:val="5"/>
        </w:numPr>
        <w:ind w:left="0" w:firstLine="720"/>
        <w:jc w:val="both"/>
        <w:spacing w:after="120"/>
        <w:tabs>
          <w:tab w:val="num" w:pos="0" w:leader="none"/>
          <w:tab w:val="left" w:pos="1080" w:leader="none"/>
          <w:tab w:val="clear" w:pos="1440" w:leader="none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Дотации</w:t>
      </w:r>
      <w:r>
        <w:rPr>
          <w:sz w:val="26"/>
          <w:szCs w:val="26"/>
        </w:rPr>
        <w:t xml:space="preserve"> в 2026 году составят – 2 895 538,00 тыс. рублей, в 2027 и 2028 годах – 2 548 982,20 тыс. рублей ежегодно, в том числе: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tabs>
          <w:tab w:val="left" w:pos="10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дотации на выравнивание бюджетной обеспеченности в 2026 году составят –            1 732 779,20 тыс. рублей, в 2027 и 2028 годах – 1 386 223,40 тыс. руб</w:t>
      </w:r>
      <w:r>
        <w:rPr>
          <w:sz w:val="26"/>
          <w:szCs w:val="26"/>
        </w:rPr>
        <w:t xml:space="preserve">лей ежегодно. Снижение объема дотаций на выравнивание бюджетной обеспеченности муниципальных образований на 2027-2028 годы обусловлено общим подходом министерства финансов Красноярского края по расчету показателей финансовой помощи в среднесрочном периоде;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tabs>
          <w:tab w:val="left" w:pos="10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дотации на поддержку мер по обеспечению сбалансированности в 2026 году и в 2027 и 2028 годах составят 376 288,60 тыс. рублей ежегодно;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tabs>
          <w:tab w:val="left" w:pos="10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дотации на частичную компенсацию расходов на оплату труда работников муниципальных учреждений в 2026 году и в 2027 и 2028 годах составят 786 470,20 тыс. рублей ежегодно;</w:t>
      </w:r>
      <w:r>
        <w:rPr>
          <w:sz w:val="26"/>
          <w:szCs w:val="26"/>
        </w:rPr>
      </w:r>
    </w:p>
    <w:p>
      <w:pPr>
        <w:numPr>
          <w:ilvl w:val="0"/>
          <w:numId w:val="8"/>
        </w:numPr>
        <w:ind w:left="0" w:firstLine="720"/>
        <w:jc w:val="both"/>
        <w:spacing w:after="120"/>
        <w:tabs>
          <w:tab w:val="num" w:pos="0" w:leader="none"/>
          <w:tab w:val="left" w:pos="1080" w:leader="none"/>
          <w:tab w:val="clear" w:pos="1440" w:leader="none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Субсидии </w:t>
      </w:r>
      <w:r>
        <w:rPr>
          <w:sz w:val="26"/>
          <w:szCs w:val="26"/>
        </w:rPr>
        <w:t xml:space="preserve">составят в 2026 году – 662 311,80 тыс. рублей, в 2027 и 2028 годах –     564 065,70 тыс. рублей и 1 151 861,00 тыс. рублей соответственно. </w:t>
      </w:r>
      <w:r>
        <w:rPr>
          <w:sz w:val="26"/>
          <w:szCs w:val="26"/>
        </w:rPr>
      </w:r>
    </w:p>
    <w:p>
      <w:pPr>
        <w:numPr>
          <w:ilvl w:val="0"/>
          <w:numId w:val="8"/>
        </w:numPr>
        <w:ind w:left="0" w:firstLine="709"/>
        <w:jc w:val="both"/>
        <w:spacing w:after="120"/>
        <w:tabs>
          <w:tab w:val="num" w:pos="0" w:leader="none"/>
          <w:tab w:val="num" w:pos="1070" w:leader="none"/>
          <w:tab w:val="left" w:pos="1134" w:leader="none"/>
          <w:tab w:val="clear" w:pos="1440" w:leader="none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Субвенции </w:t>
      </w:r>
      <w:r>
        <w:rPr>
          <w:sz w:val="26"/>
          <w:szCs w:val="26"/>
        </w:rPr>
        <w:t xml:space="preserve">составят в 2026 году – 5 440 565,40 тыс. рублей, в 2027 и 2028 годах – 5 434 596,20 тыс. рублей и 5 380 723,70 тыс. рублей соответственно.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rPr>
          <w:bCs/>
          <w:sz w:val="26"/>
          <w:szCs w:val="26"/>
        </w:rPr>
      </w:pPr>
      <w:r>
        <w:rPr>
          <w:b/>
          <w:sz w:val="26"/>
          <w:szCs w:val="26"/>
        </w:rPr>
        <w:t xml:space="preserve">Возврат остатков субсидий, субвенций и иных межбюджетных трансфертов, имеющих целевое назначение, прошлых лет</w:t>
      </w:r>
      <w:r>
        <w:rPr>
          <w:sz w:val="26"/>
          <w:szCs w:val="26"/>
        </w:rPr>
        <w:t xml:space="preserve"> из бюджетов муниципальных районов</w:t>
      </w:r>
      <w:r>
        <w:rPr>
          <w:bCs/>
          <w:sz w:val="26"/>
          <w:szCs w:val="26"/>
        </w:rPr>
        <w:t xml:space="preserve"> по представленным сведениям главных администраторов доходов районного бюджета, </w:t>
      </w:r>
      <w:r>
        <w:rPr>
          <w:sz w:val="26"/>
          <w:szCs w:val="26"/>
        </w:rPr>
        <w:t xml:space="preserve">поступающих в виде дебиторской задолженности прошлых лет </w:t>
      </w:r>
      <w:r>
        <w:rPr>
          <w:bCs/>
          <w:sz w:val="26"/>
          <w:szCs w:val="26"/>
        </w:rPr>
        <w:t xml:space="preserve">составит в 2026-2028 годах – (минус) 2 181,99 тыс. рублей ежегодно.</w:t>
      </w:r>
      <w:r>
        <w:rPr>
          <w:bCs/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b/>
          <w:sz w:val="26"/>
          <w:szCs w:val="26"/>
          <w:lang w:val="en-US"/>
        </w:rPr>
        <w:t xml:space="preserve">II</w:t>
      </w:r>
      <w:r>
        <w:rPr>
          <w:b/>
          <w:sz w:val="26"/>
          <w:szCs w:val="26"/>
        </w:rPr>
        <w:t xml:space="preserve">. РАСХОДЫ </w:t>
      </w:r>
      <w:r>
        <w:rPr>
          <w:sz w:val="26"/>
          <w:szCs w:val="26"/>
        </w:rPr>
      </w:r>
    </w:p>
    <w:p>
      <w:pPr>
        <w:pStyle w:val="913"/>
        <w:ind w:firstLine="567"/>
        <w:jc w:val="both"/>
        <w:spacing w:before="3"/>
        <w:tabs>
          <w:tab w:val="left" w:pos="567" w:leader="none"/>
          <w:tab w:val="left" w:pos="1798" w:leader="none"/>
          <w:tab w:val="left" w:pos="2342" w:leader="none"/>
          <w:tab w:val="left" w:pos="3058" w:leader="none"/>
          <w:tab w:val="left" w:pos="3286" w:leader="none"/>
          <w:tab w:val="left" w:pos="4535" w:leader="none"/>
          <w:tab w:val="left" w:pos="5136" w:leader="none"/>
          <w:tab w:val="left" w:pos="5469" w:leader="none"/>
          <w:tab w:val="left" w:pos="6312" w:leader="none"/>
          <w:tab w:val="left" w:pos="7019" w:leader="none"/>
          <w:tab w:val="left" w:pos="7207" w:leader="none"/>
          <w:tab w:val="left" w:pos="8440" w:leader="none"/>
          <w:tab w:val="left" w:pos="8706" w:leader="none"/>
        </w:tabs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 Начиная с 2026 года в соответствии с законом Красноярского края </w:t>
      </w:r>
      <w:r>
        <w:rPr>
          <w:bCs/>
          <w:color w:val="000000" w:themeColor="text1"/>
          <w:sz w:val="26"/>
          <w:szCs w:val="26"/>
          <w:highlight w:val="white"/>
        </w:rPr>
        <w:t xml:space="preserve">№ 9-3914 ф</w:t>
      </w:r>
      <w:r>
        <w:rPr>
          <w:color w:val="000000" w:themeColor="text1"/>
          <w:sz w:val="26"/>
          <w:szCs w:val="26"/>
          <w:highlight w:val="white"/>
        </w:rPr>
        <w:t xml:space="preserve">ормируется единый бюджет муниципального округа, в котором поселения, ранее наделенные полномочиями по формированию собственного бюджета, </w:t>
      </w:r>
      <w:r>
        <w:rPr>
          <w:sz w:val="26"/>
          <w:szCs w:val="26"/>
          <w:highlight w:val="white"/>
        </w:rPr>
        <w:t xml:space="preserve">будут отражаются в бюджете муниципального округа как главные распорядители бюджетных средств. </w:t>
      </w:r>
      <w:r>
        <w:rPr>
          <w:sz w:val="26"/>
          <w:szCs w:val="26"/>
          <w:highlight w:val="white"/>
        </w:rPr>
      </w:r>
    </w:p>
    <w:p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  <w:highlight w:val="white"/>
        </w:rPr>
        <w:t xml:space="preserve">Формирование расходов бюджета муниципального округа на 2026 год и п</w:t>
      </w:r>
      <w:r>
        <w:rPr>
          <w:sz w:val="26"/>
          <w:szCs w:val="26"/>
        </w:rPr>
        <w:t xml:space="preserve">лановый период 2027-202</w:t>
      </w:r>
      <w:r>
        <w:rPr>
          <w:sz w:val="26"/>
          <w:szCs w:val="26"/>
        </w:rPr>
        <w:t xml:space="preserve">8 годов осуществлялось в соответствии с расходными обязательствами, обусловленными установленным действующим законодательством разграничением полномочий, исполнение которых должно происходить в 2026-2028 годах за счет средств бюджета муниципального округа.</w:t>
      </w:r>
      <w:r>
        <w:rPr>
          <w:sz w:val="26"/>
          <w:szCs w:val="26"/>
        </w:rPr>
      </w:r>
    </w:p>
    <w:p>
      <w:pPr>
        <w:ind w:right="-2"/>
        <w:jc w:val="both"/>
        <w:spacing w:after="120"/>
        <w:tabs>
          <w:tab w:val="left" w:pos="709" w:leader="none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Формирование проекта расходов бюджета муниципального округа осуществлялось согласно доведенным </w:t>
      </w:r>
      <w:r>
        <w:rPr>
          <w:sz w:val="26"/>
          <w:szCs w:val="26"/>
        </w:rPr>
        <w:t xml:space="preserve">минфином</w:t>
      </w:r>
      <w:r>
        <w:rPr>
          <w:sz w:val="26"/>
          <w:szCs w:val="26"/>
        </w:rPr>
        <w:t xml:space="preserve"> края подходам по формированию местных бюджетов на 2026 год и плановый период 2027 – 2028 годов. </w:t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данными подходами расчет параметров бюджета очередного 2026 года осуществлен на основе базового объема расходов бюджета муниципального округа на 2025 год с учетом следующих сценарных условий: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bCs/>
          <w:sz w:val="26"/>
          <w:szCs w:val="26"/>
          <w:highlight w:val="white"/>
        </w:rPr>
      </w:pPr>
      <w:r>
        <w:rPr>
          <w:bCs/>
          <w:sz w:val="26"/>
          <w:szCs w:val="26"/>
          <w:highlight w:val="white"/>
        </w:rPr>
        <w:t xml:space="preserve">- увеличение фондов оплаты труда в связи с повышением </w:t>
      </w:r>
      <w:r>
        <w:rPr>
          <w:bCs/>
          <w:color w:val="000000" w:themeColor="text1"/>
          <w:sz w:val="26"/>
          <w:szCs w:val="26"/>
          <w:highlight w:val="white"/>
        </w:rPr>
        <w:t xml:space="preserve">с 1 января 2025 года </w:t>
      </w:r>
      <w:r>
        <w:rPr>
          <w:bCs/>
          <w:sz w:val="26"/>
          <w:szCs w:val="26"/>
          <w:highlight w:val="white"/>
        </w:rPr>
        <w:t xml:space="preserve">на </w:t>
      </w:r>
      <w:r>
        <w:rPr>
          <w:bCs/>
          <w:color w:val="000000" w:themeColor="text1"/>
          <w:sz w:val="26"/>
          <w:szCs w:val="26"/>
          <w:highlight w:val="white"/>
        </w:rPr>
        <w:t xml:space="preserve">3,2 </w:t>
      </w:r>
      <w:r>
        <w:rPr>
          <w:bCs/>
          <w:sz w:val="26"/>
          <w:szCs w:val="26"/>
          <w:highlight w:val="white"/>
        </w:rPr>
        <w:t xml:space="preserve">тыс. рублей заработной платы лиц, замещающих муниципальны</w:t>
      </w:r>
      <w:r>
        <w:rPr>
          <w:bCs/>
          <w:sz w:val="26"/>
          <w:szCs w:val="26"/>
          <w:highlight w:val="white"/>
        </w:rPr>
        <w:t xml:space="preserve">е должности, муниципальных служащих посредством увеличения ежемесячного денежного поощрения, иных работников органов местного самоуправления, муниципальных органов, работников муниципальных учреждений посредством предоставления специальной краевой выплаты;</w:t>
      </w:r>
      <w:r>
        <w:rPr>
          <w:bCs/>
          <w:sz w:val="26"/>
          <w:szCs w:val="26"/>
          <w:highlight w:val="white"/>
        </w:rPr>
      </w:r>
    </w:p>
    <w:p>
      <w:pPr>
        <w:ind w:firstLine="720"/>
        <w:jc w:val="both"/>
        <w:spacing w:after="120"/>
        <w:rPr>
          <w:bCs/>
          <w:sz w:val="26"/>
          <w:szCs w:val="26"/>
          <w:highlight w:val="white"/>
        </w:rPr>
      </w:pPr>
      <w:r>
        <w:rPr>
          <w:bCs/>
          <w:sz w:val="26"/>
          <w:szCs w:val="26"/>
          <w:highlight w:val="white"/>
        </w:rPr>
        <w:t xml:space="preserve">- увеличение фондов оплаты труда с учетом решений об обеспечении целевых показателей соотношения средней заработной платы работников, обозначенных указами Президента Российской Федерации, принятых в 2025 году;</w:t>
      </w:r>
      <w:r>
        <w:rPr>
          <w:bCs/>
          <w:sz w:val="26"/>
          <w:szCs w:val="26"/>
          <w:highlight w:val="white"/>
        </w:rPr>
      </w:r>
    </w:p>
    <w:p>
      <w:pPr>
        <w:ind w:firstLine="720"/>
        <w:jc w:val="both"/>
        <w:spacing w:after="120"/>
        <w:rPr>
          <w:bCs/>
          <w:sz w:val="26"/>
          <w:szCs w:val="26"/>
          <w:highlight w:val="white"/>
        </w:rPr>
      </w:pPr>
      <w:r>
        <w:rPr>
          <w:bCs/>
          <w:sz w:val="26"/>
          <w:szCs w:val="26"/>
          <w:highlight w:val="white"/>
        </w:rPr>
        <w:t xml:space="preserve">- увеличение расходов на реализацию решений об изменении механизма начисления пенсии за выслугу лет муниципальным служащим;</w:t>
      </w:r>
      <w:r>
        <w:rPr>
          <w:bCs/>
          <w:sz w:val="26"/>
          <w:szCs w:val="26"/>
          <w:highlight w:val="white"/>
        </w:rPr>
      </w:r>
    </w:p>
    <w:p>
      <w:pPr>
        <w:ind w:firstLine="720"/>
        <w:jc w:val="both"/>
        <w:spacing w:after="12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индексация расходов на оплату коммунальных услуг на 12,1 процента;</w:t>
      </w:r>
      <w:r>
        <w:rPr>
          <w:bCs/>
          <w:sz w:val="26"/>
          <w:szCs w:val="26"/>
        </w:rPr>
      </w:r>
    </w:p>
    <w:p>
      <w:pPr>
        <w:ind w:firstLine="720"/>
        <w:jc w:val="both"/>
        <w:spacing w:after="12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индексация расходов на содержание улично-дорожной сети, объектов внешнего благоустройства, приобретение продуктов питания на 6,2 процента;</w:t>
      </w:r>
      <w:r>
        <w:rPr>
          <w:bCs/>
          <w:sz w:val="26"/>
          <w:szCs w:val="26"/>
        </w:rPr>
      </w:r>
    </w:p>
    <w:p>
      <w:pPr>
        <w:ind w:firstLine="720"/>
        <w:jc w:val="both"/>
        <w:spacing w:after="12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увеличение расходов на содержание новых общественных пространств;</w:t>
      </w:r>
      <w:r>
        <w:rPr>
          <w:bCs/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Порядок и методика планирования бюджетных ассигнований бюджета муниципального округа главными распорядителями средств бюджета муниципального </w:t>
      </w:r>
      <w:r>
        <w:rPr>
          <w:sz w:val="26"/>
          <w:szCs w:val="26"/>
        </w:rPr>
        <w:t xml:space="preserve">округа регламентированы приказом Финанс</w:t>
      </w:r>
      <w:r>
        <w:rPr>
          <w:sz w:val="26"/>
          <w:szCs w:val="26"/>
        </w:rPr>
        <w:t xml:space="preserve">ового управления от 13.02.2019 № 16-П в соответствии с требованиями ст. 174.2 БК РФ). При этом, Бюджетным кодексом Российской Федерации до настоящего времени не установлены полномочия финансовых органов муниципальных образований РФ (субъектов РФ), по анало</w:t>
      </w:r>
      <w:r>
        <w:rPr>
          <w:sz w:val="26"/>
          <w:szCs w:val="26"/>
        </w:rPr>
        <w:t xml:space="preserve">гии с Минфином РФ, по установлению порядков формирования и представления обоснований бюджетных ассигнований по расходам главными распорядителями бюджетных средств, аналогичным предусмотренным в ст.165 БК РФ. В связи с чем, составление обоснований бюджетных</w:t>
      </w:r>
      <w:r>
        <w:rPr>
          <w:sz w:val="26"/>
          <w:szCs w:val="26"/>
        </w:rPr>
        <w:t xml:space="preserve"> ассигнований главными распорядителями средств бюджета муниципального округа, предусмотренное п.3.6. Порядка № 636, обеспечивалось главными распорядителями средств бюджета муниципального округа в рамках реализации полномочий, предусмотренных ст. 158 БК РФ.</w:t>
      </w:r>
      <w:r>
        <w:rPr>
          <w:sz w:val="26"/>
          <w:szCs w:val="26"/>
        </w:rPr>
      </w:r>
    </w:p>
    <w:p>
      <w:pPr>
        <w:jc w:val="both"/>
        <w:spacing w:after="120"/>
        <w:rPr>
          <w:iCs/>
          <w:sz w:val="26"/>
          <w:szCs w:val="26"/>
        </w:rPr>
      </w:pPr>
      <w:r>
        <w:rPr>
          <w:iCs/>
          <w:sz w:val="26"/>
          <w:szCs w:val="26"/>
        </w:rPr>
        <w:tab/>
        <w:t xml:space="preserve">Главные распорядители средств бюджета </w:t>
      </w:r>
      <w:r>
        <w:rPr>
          <w:sz w:val="26"/>
          <w:szCs w:val="26"/>
        </w:rPr>
        <w:t xml:space="preserve">муниципального округа</w:t>
      </w:r>
      <w:r>
        <w:rPr>
          <w:iCs/>
          <w:sz w:val="26"/>
          <w:szCs w:val="26"/>
        </w:rPr>
        <w:t xml:space="preserve"> при формировании расходов  бюджета </w:t>
      </w:r>
      <w:r>
        <w:rPr>
          <w:sz w:val="26"/>
          <w:szCs w:val="26"/>
        </w:rPr>
        <w:t xml:space="preserve">муниципального округа </w:t>
      </w:r>
      <w:r>
        <w:rPr>
          <w:iCs/>
          <w:sz w:val="26"/>
          <w:szCs w:val="26"/>
        </w:rPr>
        <w:t xml:space="preserve">обеспечивали соблюдение требований, установленных </w:t>
      </w:r>
      <w:r>
        <w:rPr>
          <w:sz w:val="26"/>
          <w:szCs w:val="26"/>
        </w:rPr>
        <w:t xml:space="preserve">п</w:t>
      </w:r>
      <w:r>
        <w:rPr>
          <w:sz w:val="26"/>
          <w:szCs w:val="26"/>
        </w:rPr>
        <w:t xml:space="preserve">остановлениями Администрации муниципального района от 06.12.2016 № 792 «Об утверждении Правил определения требований к отдельным видам товаров, работ, услуг (в том числе предельных цен товаров, работ, услуг), закупаемых для обеспечения муниципальных нужд» </w:t>
      </w:r>
      <w:r>
        <w:rPr>
          <w:iCs/>
          <w:sz w:val="26"/>
          <w:szCs w:val="26"/>
        </w:rPr>
        <w:t xml:space="preserve">и от 30.11.201</w:t>
      </w:r>
      <w:r>
        <w:rPr>
          <w:iCs/>
          <w:sz w:val="26"/>
          <w:szCs w:val="26"/>
        </w:rPr>
        <w:t xml:space="preserve">6 № 776 «Об утверждении Правил определения нормативных затрат на обеспечение функций Администрации муниципального района, органов Администрации и подведомственных им казенных учреждений», принятых во исполнение статьи 19 Федерального закона  от 05.04.2013 </w:t>
      </w:r>
      <w:r>
        <w:rPr>
          <w:iCs/>
          <w:sz w:val="26"/>
          <w:szCs w:val="26"/>
        </w:rPr>
        <w:t xml:space="preserve">    </w:t>
      </w:r>
      <w:r>
        <w:rPr>
          <w:iCs/>
          <w:sz w:val="26"/>
          <w:szCs w:val="26"/>
        </w:rPr>
        <w:t xml:space="preserve">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iCs/>
          <w:sz w:val="26"/>
          <w:szCs w:val="26"/>
        </w:rPr>
      </w:r>
    </w:p>
    <w:p>
      <w:pPr>
        <w:ind w:firstLine="720"/>
        <w:jc w:val="both"/>
        <w:spacing w:after="120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При формировании расходов бюджета муниципального округа соблюдено требование статьи 174.2 БК РФ о раздельном планировании бюджетных ассигнований на исполнение действующих и прини</w:t>
      </w:r>
      <w:r>
        <w:rPr>
          <w:sz w:val="26"/>
          <w:szCs w:val="26"/>
        </w:rPr>
        <w:t xml:space="preserve">маемых обязательств. Планирование расходов на финансовое обеспечение принимаемых обязательств осуществлялось исходя из информации, представленной главными распорядителями средств бюджета муниципального округа по форме согласно приложению 6 к Порядку № 636.</w:t>
      </w:r>
      <w:r>
        <w:rPr>
          <w:color w:val="ff0000"/>
          <w:sz w:val="26"/>
          <w:szCs w:val="26"/>
        </w:rPr>
      </w:r>
    </w:p>
    <w:p>
      <w:pPr>
        <w:ind w:firstLine="709"/>
        <w:jc w:val="both"/>
        <w:tabs>
          <w:tab w:val="left" w:pos="1134" w:leader="none"/>
        </w:tabs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При разработке проекта бюджета муниципального округа учитывалось вступление в силу Федерального закона № 33-ФЗ, закона Красноярского края № 9-3914, осново</w:t>
      </w:r>
      <w:r>
        <w:rPr>
          <w:sz w:val="26"/>
          <w:szCs w:val="26"/>
        </w:rPr>
        <w:t xml:space="preserve">й которых является переход на одноуровневую систему организации местного самоуправления, а также учтены следующие приоритетные задачи, планируемые к решению в процессе исполнения бюджета муниципального округа в 2026 году и плановом периоде 2027-2028 годов:</w:t>
      </w:r>
      <w:r>
        <w:rPr>
          <w:b/>
          <w:bCs/>
          <w:sz w:val="26"/>
          <w:szCs w:val="26"/>
        </w:rPr>
      </w:r>
    </w:p>
    <w:p>
      <w:pPr>
        <w:pStyle w:val="1198"/>
        <w:numPr>
          <w:ilvl w:val="0"/>
          <w:numId w:val="19"/>
        </w:numPr>
        <w:contextualSpacing w:val="0"/>
        <w:ind w:left="0" w:firstLine="709"/>
        <w:jc w:val="both"/>
        <w:spacing w:after="120" w:line="240" w:lineRule="auto"/>
        <w:tabs>
          <w:tab w:val="left" w:pos="1134" w:leader="none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обеспечение стабильных финансово-экономических условий для решения вопросов местного значения, установленных ст. 14 и 15 </w:t>
      </w:r>
      <w:r>
        <w:rPr>
          <w:rFonts w:ascii="Times New Roman" w:hAnsi="Times New Roman"/>
          <w:bCs/>
          <w:sz w:val="26"/>
          <w:szCs w:val="26"/>
        </w:rPr>
        <w:t xml:space="preserve">Федерального закона №131-</w:t>
      </w:r>
      <w:r>
        <w:rPr>
          <w:rFonts w:ascii="Times New Roman" w:hAnsi="Times New Roman"/>
          <w:bCs/>
          <w:sz w:val="26"/>
          <w:szCs w:val="26"/>
        </w:rPr>
        <w:t xml:space="preserve">ФЗ,   </w:t>
      </w:r>
      <w:r>
        <w:rPr>
          <w:rFonts w:ascii="Times New Roman" w:hAnsi="Times New Roman"/>
          <w:bCs/>
          <w:sz w:val="26"/>
          <w:szCs w:val="26"/>
        </w:rPr>
        <w:t xml:space="preserve">                  и осуществления установленных ст. 17 указанного Федерального закона полномочий, а также реализации переданных органам местного самоуправления муниципального округа государственных полномочий;</w:t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1198"/>
        <w:numPr>
          <w:ilvl w:val="0"/>
          <w:numId w:val="19"/>
        </w:numPr>
        <w:contextualSpacing w:val="0"/>
        <w:ind w:left="0" w:firstLine="709"/>
        <w:jc w:val="both"/>
        <w:spacing w:after="120" w:line="240" w:lineRule="auto"/>
        <w:tabs>
          <w:tab w:val="left" w:pos="1134" w:leader="none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о</w:t>
      </w:r>
      <w:r>
        <w:rPr>
          <w:rFonts w:ascii="Times New Roman" w:hAnsi="Times New Roman"/>
          <w:color w:val="000000"/>
          <w:sz w:val="26"/>
          <w:szCs w:val="26"/>
        </w:rPr>
        <w:t xml:space="preserve">беспечение прозрачности и открытости бюджета и бюджетного процесса;</w:t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1155"/>
        <w:numPr>
          <w:ilvl w:val="0"/>
          <w:numId w:val="19"/>
        </w:numPr>
        <w:ind w:left="0" w:firstLine="709"/>
        <w:jc w:val="both"/>
        <w:spacing w:after="120"/>
        <w:tabs>
          <w:tab w:val="left" w:pos="1134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повышение качества планирования и эффективности использования бюджетных средств,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приоритизация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бюджетных расходов</w:t>
      </w:r>
      <w:r>
        <w:rPr>
          <w:rFonts w:ascii="Times New Roman" w:hAnsi="Times New Roman" w:cs="Times New Roman"/>
          <w:sz w:val="26"/>
          <w:szCs w:val="26"/>
        </w:rPr>
        <w:t xml:space="preserve">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155"/>
        <w:numPr>
          <w:ilvl w:val="0"/>
          <w:numId w:val="19"/>
        </w:numPr>
        <w:ind w:left="0" w:firstLine="709"/>
        <w:jc w:val="both"/>
        <w:spacing w:after="120"/>
        <w:tabs>
          <w:tab w:val="left" w:pos="1134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обеспечение сбалансированности бюджета муниципального округа.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tabs>
          <w:tab w:val="left" w:pos="709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Показатели расходной части бюджета муниципального округа на 2026 год сформированы с учетом результатов согласования параметров местного бюджета с </w:t>
      </w:r>
      <w:r>
        <w:rPr>
          <w:sz w:val="26"/>
          <w:szCs w:val="26"/>
        </w:rPr>
        <w:t xml:space="preserve">минфином</w:t>
      </w:r>
      <w:r>
        <w:rPr>
          <w:sz w:val="26"/>
          <w:szCs w:val="26"/>
        </w:rPr>
        <w:t xml:space="preserve"> Красноярского края и учитывают дополнительные к базовым расходы. </w:t>
      </w:r>
      <w:r>
        <w:rPr>
          <w:sz w:val="26"/>
          <w:szCs w:val="26"/>
        </w:rPr>
      </w:r>
    </w:p>
    <w:p>
      <w:pPr>
        <w:ind w:firstLine="709"/>
        <w:jc w:val="both"/>
        <w:spacing w:before="120" w:after="120"/>
        <w:tabs>
          <w:tab w:val="left" w:pos="709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Дополнительные расходы, представленные главными распорядителями </w:t>
      </w:r>
      <w:r>
        <w:rPr>
          <w:sz w:val="26"/>
          <w:szCs w:val="26"/>
        </w:rPr>
        <w:t xml:space="preserve">средств  бюджета</w:t>
      </w:r>
      <w:r>
        <w:rPr>
          <w:sz w:val="26"/>
          <w:szCs w:val="26"/>
        </w:rPr>
        <w:t xml:space="preserve"> муниципального округа, в соответствии с п.3.6. Порядка № 636, рассмотрены на совещаниях с участием Главы муниципального района и руководителей главных распорядителей средств районного бюджета, заместителей Главы муниципального района, курирующи</w:t>
      </w:r>
      <w:r>
        <w:rPr>
          <w:sz w:val="26"/>
          <w:szCs w:val="26"/>
        </w:rPr>
        <w:t xml:space="preserve">х соответствующие отраслевые вопросы. В соответствии с решениями, принятыми Главой муниципального района по итогам проведенных совещаний, сформирован и утвержден сводный реестр дополнительных расходов окружного бюджета на 2026 год (далее- сводный реестр). 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tabs>
          <w:tab w:val="left" w:pos="709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 связи с ограниченным объемом бюджетных ассигнований расходной части бюджета муниципального округа на 2026 год, с </w:t>
      </w:r>
      <w:r>
        <w:rPr>
          <w:sz w:val="26"/>
          <w:szCs w:val="26"/>
        </w:rPr>
        <w:t xml:space="preserve">учетом подходов Минфина Красноярского края по формированию местных бюджетов, заявленные главными распорядителями средств бюджета муниципального округа дополнительные расходы на 2026 год не могли быть учтены в полном объеме в параметрах окружного бюджета.  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tabs>
          <w:tab w:val="left" w:pos="709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Кроме того, при рассмотрении у Главы муниципального района отдельных мероприятий были отмечены их низкая экономическая эффективность, нецелесообразность проведения в очередном финансовом году, не проработаннос</w:t>
      </w:r>
      <w:r>
        <w:rPr>
          <w:sz w:val="26"/>
          <w:szCs w:val="26"/>
        </w:rPr>
        <w:t xml:space="preserve">ть механизмов реализации, несоответствие полномочиям органов местного самоуправления муниципального округа и т.д., что привело к их исключению из сводного реестра при корректировке и утверждении Главой муниципального района в соответствии с п.4.3 Порядка №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636. 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tabs>
          <w:tab w:val="left" w:pos="709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 итогам проведенной работы, в расходную часть бюджета муниципального округа включены бюджетные ассигнования на реализацию следующих мероприятий утвержденного сводного реестра в разрезе главных распорядителей средств бюджета муниципального округа:</w:t>
      </w:r>
      <w:r>
        <w:rPr>
          <w:sz w:val="26"/>
          <w:szCs w:val="26"/>
        </w:rPr>
      </w:r>
    </w:p>
    <w:tbl>
      <w:tblPr>
        <w:tblW w:w="10055" w:type="dxa"/>
        <w:tblLayout w:type="fixed"/>
        <w:tblLook w:val="04A0" w:firstRow="1" w:lastRow="0" w:firstColumn="1" w:lastColumn="0" w:noHBand="0" w:noVBand="1"/>
      </w:tblPr>
      <w:tblGrid>
        <w:gridCol w:w="1383"/>
        <w:gridCol w:w="6692"/>
        <w:gridCol w:w="1980"/>
      </w:tblGrid>
      <w:tr>
        <w:tblPrEx/>
        <w:trPr>
          <w:trHeight w:val="61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№ </w:t>
            </w:r>
            <w:r>
              <w:rPr>
                <w:color w:val="000000"/>
                <w:sz w:val="20"/>
                <w:szCs w:val="20"/>
                <w:lang w:eastAsia="ru-RU"/>
              </w:rPr>
              <w:br/>
              <w:t xml:space="preserve">п/п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Направление расходования средств окружного бюджета (наименование расходного мероприятия)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Сумма </w:t>
            </w:r>
            <w:r>
              <w:rPr>
                <w:color w:val="000000"/>
                <w:sz w:val="20"/>
                <w:szCs w:val="20"/>
                <w:lang w:eastAsia="ru-RU"/>
              </w:rPr>
              <w:br/>
              <w:t xml:space="preserve">(тыс. руб.)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09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Управление имущественных отношений Таймырского Долгано-Ненецкого муниципального района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1 436,09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1.1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Оказание услуг на техническое сопровождение программного обеспечения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423,00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1.2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Оплата коммунальных услуг, исчисленных по повышающему коэффициенту, за жилые помещения, находящиеся в муниципальной собственности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915,95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29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1.3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Коммунальные услуги за жилые помещения, находящихся в муниципальной собственности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97,14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84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Управление муниципального заказа и потребительского рынка Администрации Таймырского Долгано-Ненецкого муниципального района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2 000,0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97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2.1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Поставка твердого топлива для нужд образовательных учреждений, находящихся на печном отоплении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2 000,0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Администрация Таймырского Долгано-Ненецкого муниципального района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113 526,4</w:t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79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3.1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</w:t>
            </w:r>
            <w:r>
              <w:rPr>
                <w:color w:val="000000"/>
                <w:sz w:val="20"/>
                <w:szCs w:val="20"/>
              </w:rPr>
              <w:t xml:space="preserve"> на оказание услуг по предоставлению за плату воздушных судов (вертолетов) для выполнения полетов Главы Таймырского Долгано-Ненецкого муниципального района в пределах территории: городское поселение Дудинка, городского поселения Диксон, сельское поселение </w:t>
            </w:r>
            <w:r>
              <w:rPr>
                <w:color w:val="000000"/>
                <w:sz w:val="20"/>
                <w:szCs w:val="20"/>
              </w:rPr>
              <w:t xml:space="preserve">Караул,  сельского</w:t>
            </w:r>
            <w:r>
              <w:rPr>
                <w:color w:val="000000"/>
                <w:sz w:val="20"/>
                <w:szCs w:val="20"/>
              </w:rPr>
              <w:t xml:space="preserve"> поселения Хатанга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3 512,30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73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3.2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Текущий ремонт запасной лестницы административного здания, расположенной по адресу: ул. Советская, 35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288,81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3.3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Услуги по предоставлению доступа к сети Интернет для нужд МКУ "Таймырский архив"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180,00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3.4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Услуги по геотехническому мониторингу за зданием МКУ "Таймырский архив"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105,87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856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3.5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Выполнение работ по техническому обслуживанию внутренних и наружных теплосетей, сантехнического оборудования в помещениях здания, занимаемых МКУ "Таймырский архив" по адресу г. Дудинка, ул. Ленина, д.24А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140,00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83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3.6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Выполнение работ по очистке скатной кровли здания от снега, наледи и сосулек по адресу: г. Дудинка, ул. Ленина, д.24А МКУ "Таймырский архив"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69,33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51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3.7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Услуги по механизированной уборке и вывозу снега с территории, прилегающей к зданию по адресу: г. Дудинка, ул. Ленина, д. 24А МКУ "Таймырский архив"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167,50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78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3.8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Услуги по техническому обслуживанию узлов коммерческого учета </w:t>
            </w:r>
            <w:r>
              <w:rPr>
                <w:color w:val="000000"/>
                <w:sz w:val="20"/>
                <w:szCs w:val="20"/>
              </w:rPr>
              <w:t xml:space="preserve">теплоэнергоресурсов</w:t>
            </w:r>
            <w:r>
              <w:rPr>
                <w:color w:val="000000"/>
                <w:sz w:val="20"/>
                <w:szCs w:val="20"/>
              </w:rPr>
              <w:t xml:space="preserve"> в </w:t>
            </w:r>
            <w:r>
              <w:rPr>
                <w:color w:val="000000"/>
                <w:sz w:val="20"/>
                <w:szCs w:val="20"/>
              </w:rPr>
              <w:t xml:space="preserve">здании  МКУ</w:t>
            </w:r>
            <w:r>
              <w:rPr>
                <w:color w:val="000000"/>
                <w:sz w:val="20"/>
                <w:szCs w:val="20"/>
              </w:rPr>
              <w:t xml:space="preserve"> Таймырский архив", расположенного по адресу: г. Дудинка, ул. Ленина, д.24А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179,20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829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3.9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обязательное страхование гражданской ответственности перевозчика за причинение вреда жизни, здоровью, имуществу пассажиров для нужд МКУ "Таймырская транспортная компания"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286,70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1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3.10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Поставка запасных частей для водомётного мелкосидящего катера "</w:t>
            </w:r>
            <w:r>
              <w:rPr>
                <w:color w:val="000000"/>
                <w:sz w:val="20"/>
                <w:szCs w:val="20"/>
              </w:rPr>
              <w:t xml:space="preserve">Логата</w:t>
            </w:r>
            <w:r>
              <w:rPr>
                <w:color w:val="000000"/>
                <w:sz w:val="20"/>
                <w:szCs w:val="20"/>
              </w:rPr>
              <w:t xml:space="preserve">" проекта КС-110-32А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1 169,72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3.11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Выполнение работ по капитальному ремонту теплохода «</w:t>
            </w:r>
            <w:r>
              <w:rPr>
                <w:color w:val="000000"/>
                <w:sz w:val="20"/>
                <w:szCs w:val="20"/>
              </w:rPr>
              <w:t xml:space="preserve">Хансута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Яптунэ</w:t>
            </w:r>
            <w:r>
              <w:rPr>
                <w:color w:val="000000"/>
                <w:sz w:val="20"/>
                <w:szCs w:val="20"/>
              </w:rPr>
              <w:t xml:space="preserve">» проекта 2707, в том </w:t>
            </w:r>
            <w:r>
              <w:rPr>
                <w:color w:val="000000"/>
                <w:sz w:val="20"/>
                <w:szCs w:val="20"/>
              </w:rPr>
              <w:t xml:space="preserve">числе  приобретение</w:t>
            </w:r>
            <w:r>
              <w:rPr>
                <w:color w:val="000000"/>
                <w:sz w:val="20"/>
                <w:szCs w:val="20"/>
              </w:rPr>
              <w:t xml:space="preserve"> и поставка судовых агрегатов для замены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10 297,70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108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3.12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субсидий юридическим лицам, индивидуальным предпринимателям на возмещение части затрат, связанных с осуществлением регулярных пассажирских перевозок воздушным транспортом на территории Таймырского Долгано-Ненецкого муниципального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34 818,15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28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3.13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субсидий юридическим лицам, индивидуальным предпринимателям на возмещение части затрат, связанных с осуществлением регулярных пассажирских перевозок водным транспортом на территории Таймырского Долгано-Ненецкого муниципального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68,43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58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Выполнение работ по разработке технического проекта на самоходный грузопассажирский паром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30 066,67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3.15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оплату услуг централизованной охраны объекта, расположенного по адресу: г. Дудинка, ул. Щорса, д. 13 для нужд МБУ "Таймырский молодежный центр"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210,24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оплату дезинфекционных услуг (дезинсекция, дератизация) для нужд МБУ "Таймырский молодежный центр"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90,25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оказание услуг по техническому обслуживанию средств охранно-пожарной сигнализации, системы видеонаблюдения для нужд МБУ "Таймырский молодежный центр"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22,64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72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оплату услуг связи для нужд МБУ "Таймырский молодежный центр"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59,04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предоставление мер социальной </w:t>
            </w:r>
            <w:r>
              <w:rPr>
                <w:color w:val="000000"/>
                <w:sz w:val="20"/>
                <w:szCs w:val="20"/>
              </w:rPr>
              <w:t xml:space="preserve">поддержки  по</w:t>
            </w:r>
            <w:r>
              <w:rPr>
                <w:color w:val="000000"/>
                <w:sz w:val="20"/>
                <w:szCs w:val="20"/>
              </w:rPr>
              <w:t xml:space="preserve"> выплате муниципальной пенсии за выслугу лет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8 043,73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982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предоставление мер социальной </w:t>
            </w:r>
            <w:r>
              <w:rPr>
                <w:color w:val="000000"/>
                <w:sz w:val="20"/>
                <w:szCs w:val="20"/>
              </w:rPr>
              <w:t xml:space="preserve">поддержки  по</w:t>
            </w:r>
            <w:r>
              <w:rPr>
                <w:color w:val="000000"/>
                <w:sz w:val="20"/>
                <w:szCs w:val="20"/>
              </w:rPr>
              <w:t xml:space="preserve"> назначению ежемесячной  денежной выплаты лицам, удостоенным Почетного звания Таймырского Долгано-Ненецкого муниципального района «Почетный гражданин Таймыра»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53,20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предоставление мер поддержки в виде возмещения части затрат на оплату электрической энергии, вырабатываемой дизельными электростанциями, израсходованной для освещения и отопления гаражей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1 157,34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Участие воспитанников секции по сноуборду МАУ "Центр развития зимних видов спорта" </w:t>
            </w:r>
            <w:r>
              <w:rPr>
                <w:color w:val="000000"/>
                <w:sz w:val="20"/>
                <w:szCs w:val="20"/>
              </w:rPr>
              <w:t xml:space="preserve">в  выездных</w:t>
            </w:r>
            <w:r>
              <w:rPr>
                <w:color w:val="000000"/>
                <w:sz w:val="20"/>
                <w:szCs w:val="20"/>
              </w:rPr>
              <w:t xml:space="preserve"> региональных соревнованиях: чемпионат и первенство Красноярского края по сноуборду и первенство Красноярского края "Олимпийские надежды"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620,42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оказание услуг по доступу к сети Интернет для нужд МКУ "Редакционно-полиграфический комплекс "Таймыр"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420,00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6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приобретение хозяйственных и канцелярских товаров для нужд МКУ "Редакционно-полиграфический комплекс "Таймыр"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223,65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организацию и проведение социально значимого мероприятия "День рыбака"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900,00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Ремонт кровли плавательного бассейна "Нептун" МАУ "ДСК" (текущий ремонт)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20 375,51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4.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</w:t>
            </w:r>
            <w:r>
              <w:rPr>
                <w:b/>
                <w:bCs/>
                <w:sz w:val="20"/>
                <w:szCs w:val="20"/>
              </w:rPr>
              <w:t xml:space="preserve">правление культуры Администрации Таймырского Долгано-Ненецкого муниципального района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15 495,09</w:t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Оказание услуг по уборке и вывозу снега и льда в зимний период и в летнее время по уборке территории для нужд МАУ "Арктический центр культуры", расположенного по </w:t>
            </w:r>
            <w:r>
              <w:rPr>
                <w:color w:val="000000"/>
                <w:sz w:val="20"/>
                <w:szCs w:val="20"/>
              </w:rPr>
              <w:t xml:space="preserve">адресу:  ул.</w:t>
            </w:r>
            <w:r>
              <w:rPr>
                <w:color w:val="000000"/>
                <w:sz w:val="20"/>
                <w:szCs w:val="20"/>
              </w:rPr>
              <w:t xml:space="preserve"> Ленина, д. 25, площадка "Притяжение Таймыра"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494,67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19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Текущий ремонт помещения библиотеки п. </w:t>
            </w:r>
            <w:r>
              <w:rPr>
                <w:color w:val="000000"/>
                <w:sz w:val="20"/>
                <w:szCs w:val="20"/>
              </w:rPr>
              <w:t xml:space="preserve">Тухард</w:t>
            </w:r>
            <w:r>
              <w:rPr>
                <w:color w:val="000000"/>
                <w:sz w:val="20"/>
                <w:szCs w:val="20"/>
              </w:rPr>
              <w:t xml:space="preserve"> МКУК "ЦБС" сельского поселения Караул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3 035,71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Приобретение ТМЦ для обеспечения требований антитеррористической безопасности учащихся и </w:t>
            </w:r>
            <w:r>
              <w:rPr>
                <w:color w:val="000000"/>
                <w:sz w:val="20"/>
                <w:szCs w:val="20"/>
              </w:rPr>
              <w:t xml:space="preserve">работников  МКУ</w:t>
            </w:r>
            <w:r>
              <w:rPr>
                <w:color w:val="000000"/>
                <w:sz w:val="20"/>
                <w:szCs w:val="20"/>
              </w:rPr>
              <w:t xml:space="preserve"> ДО "ДШИ" сельского поселения Караул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300,00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Обслуживание системы автоматической пожарной сигнализации и системы оповещения управления эвакуации Центральной библиотеки МКУК «ЦБС»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Караул</w:t>
            </w:r>
            <w:r>
              <w:rPr>
                <w:color w:val="000000"/>
                <w:sz w:val="20"/>
                <w:szCs w:val="20"/>
              </w:rPr>
              <w:t xml:space="preserve"> расположенного по адресу: с. Караул, ул. Мира, д.1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75,38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956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Обслуживание системы автоматической пожарной сигнализации и системы оповещения управления эвакуации МКУ ДО "ДШИ"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Караул  по</w:t>
            </w:r>
            <w:r>
              <w:rPr>
                <w:color w:val="000000"/>
                <w:sz w:val="20"/>
                <w:szCs w:val="20"/>
              </w:rPr>
              <w:t xml:space="preserve"> адресу: с. Караул, ул. Северная, д. 13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121,64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Обслуживание дополнительного тревожного сигнала на пульт пожарной охраны "Стрелец-мониторинг" МКУ ДО "ДШИ"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Караул</w:t>
            </w:r>
            <w:r>
              <w:rPr>
                <w:color w:val="000000"/>
                <w:sz w:val="20"/>
                <w:szCs w:val="20"/>
              </w:rPr>
              <w:t xml:space="preserve"> расположенного по адресу: с. Караул, ул. Северная, д. 13  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78,00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36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Промывка системы отопления в здании Центральной библиотеки с. Караул МКУК "ЦБС" сельского поселения Караул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175,07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Оплата услуг связи (интернет-связь) для МКУК "ЦБ"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987,93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23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Увеличение коммунальных услуг в части оплаты услуг по электроэнергии двух хоккейных раздевалок в с. Хатанга МБУК "КДК"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636,48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Приобретение сувенирной продукции к юбилею с. Хатанга МБУК "КДК"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649,71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Приобретение печатной продукции к юбилею с. Хатанга для благоустройства центральной площади (приобретение баннеров, растяжек, флагов) МБУК "КДК"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1 341,05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904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телематических услуг связи (доступа в Интернет) в сельские дома культуры п. </w:t>
            </w:r>
            <w:r>
              <w:rPr>
                <w:color w:val="000000"/>
                <w:sz w:val="20"/>
                <w:szCs w:val="20"/>
              </w:rPr>
              <w:t xml:space="preserve">Сындасско</w:t>
            </w:r>
            <w:r>
              <w:rPr>
                <w:color w:val="000000"/>
                <w:sz w:val="20"/>
                <w:szCs w:val="20"/>
              </w:rPr>
              <w:t xml:space="preserve">, п. </w:t>
            </w:r>
            <w:r>
              <w:rPr>
                <w:color w:val="000000"/>
                <w:sz w:val="20"/>
                <w:szCs w:val="20"/>
              </w:rPr>
              <w:t xml:space="preserve">Новорыбная</w:t>
            </w:r>
            <w:r>
              <w:rPr>
                <w:color w:val="000000"/>
                <w:sz w:val="20"/>
                <w:szCs w:val="20"/>
              </w:rPr>
              <w:t xml:space="preserve">, п. Попигай, п. </w:t>
            </w:r>
            <w:r>
              <w:rPr>
                <w:color w:val="000000"/>
                <w:sz w:val="20"/>
                <w:szCs w:val="20"/>
              </w:rPr>
              <w:t xml:space="preserve">Жданиха</w:t>
            </w:r>
            <w:r>
              <w:rPr>
                <w:color w:val="000000"/>
                <w:sz w:val="20"/>
                <w:szCs w:val="20"/>
              </w:rPr>
              <w:t xml:space="preserve">, п. Катырык, п. Новая, п. </w:t>
            </w:r>
            <w:r>
              <w:rPr>
                <w:color w:val="000000"/>
                <w:sz w:val="20"/>
                <w:szCs w:val="20"/>
              </w:rPr>
              <w:t xml:space="preserve">Кресты  МБУК</w:t>
            </w:r>
            <w:r>
              <w:rPr>
                <w:color w:val="000000"/>
                <w:sz w:val="20"/>
                <w:szCs w:val="20"/>
              </w:rPr>
              <w:t xml:space="preserve"> "КДК"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1 059,33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4.13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телематических услуг связи (доступа в Интернет) в библиотеках п. </w:t>
            </w:r>
            <w:r>
              <w:rPr>
                <w:color w:val="000000"/>
                <w:sz w:val="20"/>
                <w:szCs w:val="20"/>
              </w:rPr>
              <w:t xml:space="preserve">Жданиха</w:t>
            </w:r>
            <w:r>
              <w:rPr>
                <w:color w:val="000000"/>
                <w:sz w:val="20"/>
                <w:szCs w:val="20"/>
              </w:rPr>
              <w:t xml:space="preserve">, п. Кресты, п. </w:t>
            </w:r>
            <w:r>
              <w:rPr>
                <w:color w:val="000000"/>
                <w:sz w:val="20"/>
                <w:szCs w:val="20"/>
              </w:rPr>
              <w:t xml:space="preserve">Новорыбная</w:t>
            </w:r>
            <w:r>
              <w:rPr>
                <w:color w:val="000000"/>
                <w:sz w:val="20"/>
                <w:szCs w:val="20"/>
              </w:rPr>
              <w:t xml:space="preserve">, п. Новая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495,04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Компенсация расходов на оплату стоимости проезда и провоза багажа к месту использования отпуска сотрудникам МКУК "ЦНТ и КИ" сельского поселения Караул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3 866,77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Компенсация расходов на оплату стоимости проезда и провоза багажа к месту использования отпуска сотрудникам МКУ ДО "ДШИ" сельского поселения Караул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462,95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Оплата услуг связи для доступа к сети Интернет в МКУК "ЦБС" сельского поселения Караул</w:t>
            </w:r>
            <w:r>
              <w:rPr>
                <w:color w:val="7030a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425,04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Оплата услуг связи для доступа к сети Интернет в МКУ ДО "ДШИ" сельского поселения Караул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259,40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43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Оплата услуг связи для доступа к сети Интернет в МКУК "ЦНТ и КИ" сельского поселения Караул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1 030,92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Управление образования Администрации Таймырского Долгано-Ненецкого муниципального района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39 688,71</w:t>
            </w:r>
            <w:r>
              <w:rPr>
                <w:b/>
                <w:bCs/>
                <w:sz w:val="20"/>
                <w:szCs w:val="20"/>
              </w:rPr>
            </w:r>
          </w:p>
          <w:p>
            <w:r/>
            <w:r/>
          </w:p>
        </w:tc>
      </w:tr>
      <w:tr>
        <w:tblPrEx/>
        <w:trPr>
          <w:trHeight w:val="75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Выплата денежной компенсации за наем (поднаем), аренду жилого помещения педагогическим работникам муниципальных образовательных организаций, находящихся в ведении Управления образования Администрации Таймырского Долгано-Ненецкого муниципального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16 800,00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51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Капитальный ремонт крылец корпуса № 1 ТМБ ДОУ "Дудинский Центр развития ребенка – детский сад "Белоснежка", расположенного по адресу: г. Дудинка, ул. Щорса, д. 29, корпус 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15 069,85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03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Ремонтно-восстановительные работы в здании ТМК ОУ "Потаповская средняя школа № 12"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7 818,86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8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Управление развития инфраструктуры Таймырского Долгано-Ненецкого муниципального района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187 579,58</w:t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Текущий ремонт помещений 41-48 МКУ «Таймырский архив», расположенного по адресу: Красноярский край, Таймырский Долгано-Ненецкий район, г. Дудинка, ул. Ленина, д. 24А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6 095,08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64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Капитальный ремонт инженерных систем объекта «Административное нежилое помещение 1-го этажа», расположенного по адресу: Красноярский край, Таймырский Долгано- Ненецкий район, г. Дудинка, ул. Горького, д. </w:t>
            </w:r>
            <w:r>
              <w:rPr>
                <w:color w:val="000000"/>
                <w:sz w:val="20"/>
                <w:szCs w:val="20"/>
              </w:rPr>
              <w:t xml:space="preserve">32,пом</w:t>
            </w:r>
            <w:r>
              <w:rPr>
                <w:color w:val="000000"/>
                <w:sz w:val="20"/>
                <w:szCs w:val="20"/>
              </w:rPr>
              <w:t xml:space="preserve">.I 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22 225,56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842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Выполнение работ по капитальному ремонту крыши ТМК ОУ «</w:t>
            </w:r>
            <w:r>
              <w:rPr>
                <w:color w:val="000000"/>
                <w:sz w:val="20"/>
                <w:szCs w:val="20"/>
              </w:rPr>
              <w:t xml:space="preserve">Носковская</w:t>
            </w:r>
            <w:r>
              <w:rPr>
                <w:color w:val="000000"/>
                <w:sz w:val="20"/>
                <w:szCs w:val="20"/>
              </w:rPr>
              <w:t xml:space="preserve"> средняя школа-интернат» (здание школы), расположенного по адресу: Красноярский край, Таймырский Долгано-Ненецкий район, п. Носок, ул. Черемушки, д.79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48 036,19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КОМПЛЕКСНЫЙ ПЛАН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Капитальный ремонт полов в здании ТМК ОУ "Хатангская средняя школа № 1", расположенного по адресу: с. Хатанга, ул. Таймырская, д. 28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54 976,31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КОМПЛЕКСНЫЙ ПЛАН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Выполнение работ по капитальному ремонту территории ТМК ДОУ «</w:t>
            </w:r>
            <w:r>
              <w:rPr>
                <w:color w:val="000000"/>
                <w:sz w:val="20"/>
                <w:szCs w:val="20"/>
              </w:rPr>
              <w:t xml:space="preserve">Хатангский</w:t>
            </w:r>
            <w:r>
              <w:rPr>
                <w:color w:val="000000"/>
                <w:sz w:val="20"/>
                <w:szCs w:val="20"/>
              </w:rPr>
              <w:t xml:space="preserve"> детский сад комбинированного вида «Солнышко», расположенного по адресу: с. Хатанга ул. Полярная,12,  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33 155,17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КОМПЛЕКСНЫЙ ПЛАН.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Выполнение работ по капитальному ремонту территории ТМК ОУ «Хатангская средняя школа №1», расположенного по адресу: </w:t>
            </w:r>
            <w:r>
              <w:rPr>
                <w:color w:val="000000"/>
                <w:sz w:val="20"/>
                <w:szCs w:val="20"/>
              </w:rPr>
              <w:t xml:space="preserve">с.Хатанга,ул.Таймырская</w:t>
            </w:r>
            <w:r>
              <w:rPr>
                <w:color w:val="000000"/>
                <w:sz w:val="20"/>
                <w:szCs w:val="20"/>
              </w:rPr>
              <w:t xml:space="preserve">,28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23 091,27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93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Управление экологии и природных ресурсов Администрации Таймырского Долгано-Ненецкого муниципального района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20 000,0</w:t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874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проведение проектно-изыскательских работ по ликвидации несанкционированной свалки, расположенной в сельском поселении Хатанга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20 000,0</w:t>
            </w:r>
            <w:r>
              <w:rPr>
                <w:b/>
                <w:bCs/>
                <w:sz w:val="20"/>
                <w:szCs w:val="20"/>
              </w:rPr>
            </w:r>
          </w:p>
          <w:p>
            <w:r/>
            <w:r/>
          </w:p>
        </w:tc>
      </w:tr>
      <w:tr>
        <w:tblPrEx/>
        <w:trPr>
          <w:trHeight w:val="49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Администрация города Дудинки</w:t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178 520,88</w:t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Пенсии за выслугу лет муниципальным служащим, замещавшим муниципальные должности в муниципальным образовании "Город Дудинка"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9 499,34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Субсидии на возмещение части затрат, связанных с производством хлеба в поселках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12 994,56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86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Выполнение работ по содержанию улично-дорожной сети города Дудинки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17 187,03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06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Санитарная очистка и благоустройство города Дудинки и посёлков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13 176,54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87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Выполнение работ по очистке от снега, наледи, подъездных путей к подъездам многоквартирных домов, местам накопления отходов, для организации пожарных проездов, обеспечения проезда специализированной техники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20 931,82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Содержание вертолётных площадок в посёлках муниципального образования "город Дудинка" (</w:t>
            </w:r>
            <w:r>
              <w:rPr>
                <w:color w:val="000000"/>
                <w:sz w:val="20"/>
                <w:szCs w:val="20"/>
              </w:rPr>
              <w:t xml:space="preserve">Потапово</w:t>
            </w:r>
            <w:r>
              <w:rPr>
                <w:color w:val="000000"/>
                <w:sz w:val="20"/>
                <w:szCs w:val="20"/>
              </w:rPr>
              <w:t xml:space="preserve">, Усть-</w:t>
            </w:r>
            <w:r>
              <w:rPr>
                <w:color w:val="000000"/>
                <w:sz w:val="20"/>
                <w:szCs w:val="20"/>
              </w:rPr>
              <w:t xml:space="preserve">Авам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 xml:space="preserve">Волочанка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 xml:space="preserve">Хантайское</w:t>
            </w:r>
            <w:r>
              <w:rPr>
                <w:color w:val="000000"/>
                <w:sz w:val="20"/>
                <w:szCs w:val="20"/>
              </w:rPr>
              <w:t xml:space="preserve">-Озеро)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1 099,09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Ремонт памятника воинам-</w:t>
            </w:r>
            <w:r>
              <w:rPr>
                <w:color w:val="000000"/>
                <w:sz w:val="20"/>
                <w:szCs w:val="20"/>
              </w:rPr>
              <w:t xml:space="preserve">Таймырцам</w:t>
            </w:r>
            <w:r>
              <w:rPr>
                <w:color w:val="000000"/>
                <w:sz w:val="20"/>
                <w:szCs w:val="20"/>
              </w:rPr>
              <w:t xml:space="preserve">, участникам ВОВ г. Дудинка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26 408,90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Содержание тёплого остановочного павильона в г. </w:t>
            </w:r>
            <w:r>
              <w:rPr>
                <w:color w:val="000000"/>
                <w:sz w:val="20"/>
                <w:szCs w:val="20"/>
              </w:rPr>
              <w:t xml:space="preserve">Дудинке,   </w:t>
            </w:r>
            <w:r>
              <w:rPr>
                <w:color w:val="000000"/>
                <w:sz w:val="20"/>
                <w:szCs w:val="20"/>
              </w:rPr>
              <w:t xml:space="preserve">                                 ул. Островского, 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1 020,08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 8.9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Субсидии на финансовое обеспечение затрат МУП «Пассажиравтотранс», выполняющему пассажирские перевозки по городским маршрутам в соответствии с утвержденной программой пассажирских перевозок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4 130,19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8.10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Разработка проектно-сметной документации (ПСД) на реконструкцию коллекторного хозяйства в городе Дудинка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57 166,66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8.11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Коммунальные услуги нераспределённых жилых помещений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13 077,84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8.12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Коммунальные услуги нераспределённых нежилых помещений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1 196,57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8.13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Подготовка проекта организации работ по сносу объекта капитального строительства Фитнес-центра "Чайка" в городе Дудинка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632,27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9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Администрация городского поселения Диксон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59 954,40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9.1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Муниципальные пенсии за выслугу лет бывшим муниципальным служащим и лицам, замещающим муниципальные должности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2 841,71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9.2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субсидий на компенсацию части затрат хлебопекарных предприятий, связанных с производством и реализацией хлеба населению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1 488,29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9.3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Расходы, связанные с организацией регулярных пассажирских перевозок воздушными видами транспорта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6 049,27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9.4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Оплата коммунальных услуг (отопление) по незаселенным жилым помещениям муниципального жилищного фонда городского поселения Диксон на 2026 год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9 274,77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9.5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Оплата коммунальных услуг (отопление) по встроенным нежилым помещениям муниципального жилищного фонда городского поселения Диксон за 2026 года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2 401,81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9.6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Оплата коммунальных услуг (электроэнергия) по насосной станции (озеро) за 2026 год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5 232,35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9.7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Оплата коммунальных услуг (отопление) по насосной станции (озеро) </w:t>
            </w:r>
            <w:r>
              <w:rPr>
                <w:color w:val="000000"/>
                <w:sz w:val="20"/>
                <w:szCs w:val="20"/>
              </w:rPr>
              <w:t xml:space="preserve">за  2026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12 658,52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9.8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Возмещения расходов на содержание и ремонт в отношении незаселенных жилых помещений и встроенных нежилых помещений муниципального жилищного фонда городского поселения Диксон </w:t>
            </w:r>
            <w:r>
              <w:rPr>
                <w:color w:val="000000"/>
                <w:sz w:val="20"/>
                <w:szCs w:val="20"/>
              </w:rPr>
              <w:t xml:space="preserve">за  2026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2 796,58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9.9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реконструкцию водозабора на водохранилище, расположенного на ручье "Портовый"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17 211,11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10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Администрация сельского поселения Караул муниципального образования "Сельское поселение Караул"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19 337,39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433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10.1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Оплата услуг связи в части доступа к сети </w:t>
            </w:r>
            <w:r>
              <w:rPr>
                <w:color w:val="000000"/>
                <w:sz w:val="20"/>
                <w:szCs w:val="20"/>
              </w:rPr>
              <w:t xml:space="preserve">Интернет  и</w:t>
            </w:r>
            <w:r>
              <w:rPr>
                <w:color w:val="000000"/>
                <w:sz w:val="20"/>
                <w:szCs w:val="20"/>
              </w:rPr>
              <w:t xml:space="preserve"> сети местной телефонной связи  Администрации сельского поселения Караул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774,68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10.2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Оплата услуг по обслуживанию официального сайта сельского поселения Караул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246,00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10.3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Выплата пенсии за выслугу лет муниципальным служащим за счет средств бюджета муниципального образования сельское поселение Караул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1 297,97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10.4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Оплата уличного освещения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3 867,03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10.5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Организация выполнения ремонтных работ текущего и капитального </w:t>
            </w:r>
            <w:r>
              <w:rPr>
                <w:color w:val="000000"/>
                <w:sz w:val="20"/>
                <w:szCs w:val="20"/>
              </w:rPr>
              <w:t xml:space="preserve">характера административных объектов муниципальной собственности (здания, строения, сооружения, инженерные коммуникации, элементов жилых домов индивидуальных и блокированной застройки в сельских населённых пунктах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8 345,01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10.6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Оплата возмещения убытков от эксплуатации общественных бань на территории сельского поселения Караул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2 916,86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10.7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Хранение 6 домов в п. </w:t>
            </w:r>
            <w:r>
              <w:rPr>
                <w:color w:val="000000"/>
                <w:sz w:val="20"/>
                <w:szCs w:val="20"/>
              </w:rPr>
              <w:t xml:space="preserve">Тухард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952,09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10.8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Оформление земельных участков под строительство жилых домов в целях создания маневренного фонда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286,00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56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10.9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Осуществление полномочий по созданию условий для предоставления транспортных услуг населению и организации транспортного обслуживания населения в границах поселения 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651,75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11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Администрация сельского поселения Хатанга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269 030, 61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11.1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Организация выполне</w:t>
            </w:r>
            <w:r>
              <w:rPr>
                <w:color w:val="000000"/>
                <w:sz w:val="20"/>
                <w:szCs w:val="20"/>
              </w:rPr>
              <w:t xml:space="preserve">ния ремонтных работ текущего и капитального характера административных объектов муниципальной собственности (здания, строения, сооружения, инженерные коммуникации, элементов жилых домов индивидуальных и блокированной застройки в сельских населённых пунктах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15 000,00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11.2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благоустройство общественных пространств территории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Хатанга  (</w:t>
            </w:r>
            <w:r>
              <w:rPr>
                <w:color w:val="000000"/>
                <w:sz w:val="20"/>
                <w:szCs w:val="20"/>
              </w:rPr>
              <w:t xml:space="preserve">без учета расходов на уличное освещение)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6 381,00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11.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услуг по электроснабжению для уличного освещения села Хатанга и поселках муниципального образования сельское </w:t>
            </w:r>
            <w:r>
              <w:rPr>
                <w:color w:val="000000"/>
                <w:sz w:val="20"/>
                <w:szCs w:val="20"/>
              </w:rPr>
              <w:t xml:space="preserve">поселение  Хатанга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1 707,76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11.4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оплату коммунальных услуг по пустующим нежилым помещениям, находящихся в собственности муниципального образования сельское </w:t>
            </w:r>
            <w:r>
              <w:rPr>
                <w:color w:val="000000"/>
                <w:sz w:val="20"/>
                <w:szCs w:val="20"/>
              </w:rPr>
              <w:t xml:space="preserve">поселение  Хатанга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2 072,16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11.5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проведение мероприятий, связанных с празднованием 400-летия образования с. Хатанга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437,48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11.6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проведение мероприятий, связанных с празднованием юбилеев поселков: </w:t>
            </w:r>
            <w:r>
              <w:rPr>
                <w:color w:val="000000"/>
                <w:sz w:val="20"/>
                <w:szCs w:val="20"/>
              </w:rPr>
              <w:t xml:space="preserve">Сындасско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 xml:space="preserve">Новорыбная</w:t>
            </w:r>
            <w:r>
              <w:rPr>
                <w:color w:val="000000"/>
                <w:sz w:val="20"/>
                <w:szCs w:val="20"/>
              </w:rPr>
              <w:t xml:space="preserve">, Попигай, Катырык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952,47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11.7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Доплаты к пенсиям за выслугу лет муниципальным служащим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2 867,71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11.8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Оплата стоимости проезда и провоза багажа к месту использования отпуска и обратно для лиц, работающих в районах Крайнего Севера, и членов их семей по </w:t>
            </w:r>
            <w:r>
              <w:rPr>
                <w:color w:val="000000"/>
                <w:sz w:val="20"/>
                <w:szCs w:val="20"/>
              </w:rPr>
              <w:t xml:space="preserve">Хатангскому</w:t>
            </w:r>
            <w:r>
              <w:rPr>
                <w:color w:val="000000"/>
                <w:sz w:val="20"/>
                <w:szCs w:val="20"/>
              </w:rPr>
              <w:t xml:space="preserve"> сельскому Совету депутатов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190,53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11.9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Возмещение транспортных затрат по доставке бензина для реализации населению и сельскохозяйственным предприятиям из с. Хатанга в поселки муниципального образования сельское </w:t>
            </w:r>
            <w:r>
              <w:rPr>
                <w:color w:val="000000"/>
                <w:sz w:val="20"/>
                <w:szCs w:val="20"/>
              </w:rPr>
              <w:t xml:space="preserve">поселение  Хатанга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3 833,80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11.10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Возмещение части затрат на электроэнергию в торговых объектах муниципальной собственности в поселках муниципального образования сельское </w:t>
            </w:r>
            <w:r>
              <w:rPr>
                <w:color w:val="000000"/>
                <w:sz w:val="20"/>
                <w:szCs w:val="20"/>
              </w:rPr>
              <w:t xml:space="preserve">поселение  Хатанга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3 508,84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11.11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 5.3.5 мероприятий КОМПЛЕКСНОГО ПЛАНА -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Проведение капитального ремонта здания Дома культуры с. </w:t>
            </w:r>
            <w:r>
              <w:rPr>
                <w:color w:val="000000"/>
                <w:sz w:val="20"/>
                <w:szCs w:val="20"/>
              </w:rPr>
              <w:t xml:space="preserve">Хатанга  МБУК</w:t>
            </w:r>
            <w:r>
              <w:rPr>
                <w:color w:val="000000"/>
                <w:sz w:val="20"/>
                <w:szCs w:val="20"/>
              </w:rPr>
              <w:t xml:space="preserve"> "КДК"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89 492,36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11.12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 5.3.6 мероприятие КОМПЛЕКСНОГО ПЛАНА -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Оснащение и оформление уличной сцены с. Хатанга МБУК "КДК"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1 620,08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11.13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 3.3.5 н/п мероприятие КОМПЛЕКСНОГО ПЛАНА -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Текущий ремонт сельского дома культуры п. Попигай МБУК "КДК"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12 967,12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11.14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 3.3.5 н/п мероприятие КОМПЛЕКСНОГО ПЛАНА - 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Текущий ремонт в зрительном зале сельского дома культуры п. Новая МБУК "КДК"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2 556,39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11.15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 3.3.3 н/</w:t>
            </w:r>
            <w:r>
              <w:rPr>
                <w:color w:val="000000"/>
                <w:sz w:val="20"/>
                <w:szCs w:val="20"/>
              </w:rPr>
              <w:t xml:space="preserve">п  мероприятие</w:t>
            </w:r>
            <w:r>
              <w:rPr>
                <w:color w:val="000000"/>
                <w:sz w:val="20"/>
                <w:szCs w:val="20"/>
              </w:rPr>
              <w:t xml:space="preserve"> КОМПЛЕКСНОГО ПЛАНА -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Реконструкция сельского Дома культуры в поселке Кресты на основе модульных конструкций "</w:t>
            </w:r>
            <w:r>
              <w:rPr>
                <w:color w:val="000000"/>
                <w:sz w:val="20"/>
                <w:szCs w:val="20"/>
              </w:rPr>
              <w:t xml:space="preserve">транспак</w:t>
            </w:r>
            <w:r>
              <w:rPr>
                <w:color w:val="000000"/>
                <w:sz w:val="20"/>
                <w:szCs w:val="20"/>
              </w:rPr>
              <w:t xml:space="preserve">" МБУК "КДК"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83 761,38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11.16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 3.3 мероприятие КОМПЛЕКСНОГО ПЛАНА - Цветовое оформление фасадов многоквартирных домов в селе Хатанга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38 442,83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11.17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организацию перевозок населения автомобильным транспортом (автобус) в с. Хатанга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3 238,70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vMerge w:val="restart"/>
            <w:textDirection w:val="lrTb"/>
            <w:noWrap/>
          </w:tcPr>
          <w:p>
            <w:r/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906 569,15 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</w:tbl>
    <w:p>
      <w:pPr>
        <w:ind w:firstLine="709"/>
        <w:jc w:val="both"/>
        <w:spacing w:after="120"/>
        <w:rPr>
          <w:sz w:val="10"/>
          <w:szCs w:val="10"/>
          <w:highlight w:val="yellow"/>
        </w:rPr>
      </w:pPr>
      <w:r>
        <w:rPr>
          <w:sz w:val="10"/>
          <w:szCs w:val="10"/>
          <w:highlight w:val="yellow"/>
        </w:rPr>
      </w:r>
      <w:r>
        <w:rPr>
          <w:sz w:val="10"/>
          <w:szCs w:val="10"/>
          <w:highlight w:val="yellow"/>
        </w:rPr>
      </w:r>
    </w:p>
    <w:p>
      <w:pPr>
        <w:ind w:firstLine="709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В рамках постановления Администрации Таймырского Долгано-Ненецкого муниципального района Красноярского края от 02.09.2013 № 608 «Об утверждении Порядка принятия решений о разработке муниципальных программ Таймырского Долгано-Ненецкого муниципального райо</w:t>
      </w:r>
      <w:r>
        <w:rPr>
          <w:sz w:val="26"/>
          <w:szCs w:val="26"/>
        </w:rPr>
        <w:t xml:space="preserve">на, их формирования и реализации» работа по формированию бюджета муниципального округа велась на основе муниципальных программ. В соответствии со ст. 184.2. БК РФ проекты паспортов муниципальных программ представлены в составе документов к проекту решения.</w:t>
      </w:r>
      <w:r>
        <w:rPr>
          <w:sz w:val="26"/>
          <w:szCs w:val="26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Объем бюджетных ассигнований, направляемых на финансовое обеспечение реализации </w:t>
      </w:r>
      <w:r>
        <w:rPr>
          <w:b/>
          <w:color w:val="000000" w:themeColor="text1"/>
          <w:sz w:val="26"/>
          <w:szCs w:val="26"/>
        </w:rPr>
        <w:t xml:space="preserve">9 муниципальных программ</w:t>
      </w:r>
      <w:r>
        <w:rPr>
          <w:sz w:val="26"/>
          <w:szCs w:val="26"/>
        </w:rPr>
        <w:t xml:space="preserve"> Таймырского Долгано-Ненецкого муниципального округа, составит </w:t>
      </w:r>
      <w:r>
        <w:rPr>
          <w:b/>
          <w:sz w:val="26"/>
          <w:szCs w:val="26"/>
        </w:rPr>
        <w:t xml:space="preserve">на 2026 год</w:t>
      </w:r>
      <w:r>
        <w:rPr>
          <w:sz w:val="26"/>
          <w:szCs w:val="26"/>
        </w:rPr>
        <w:t xml:space="preserve"> </w:t>
      </w:r>
      <w:r>
        <w:rPr>
          <w:b/>
          <w:bCs/>
          <w:color w:val="ff0000"/>
          <w:sz w:val="26"/>
          <w:szCs w:val="26"/>
          <w:lang w:eastAsia="ru-RU"/>
        </w:rPr>
        <w:t xml:space="preserve"> </w:t>
      </w:r>
      <w:r>
        <w:rPr>
          <w:b/>
          <w:color w:val="000000"/>
          <w:sz w:val="26"/>
          <w:szCs w:val="26"/>
        </w:rPr>
        <w:t xml:space="preserve">10 661 948,03</w:t>
      </w:r>
      <w:r>
        <w:rPr>
          <w:rFonts w:ascii="Arial" w:hAnsi="Arial" w:eastAsia="Arial" w:cs="Arial"/>
          <w:b/>
          <w:color w:val="000000"/>
          <w:sz w:val="16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тыс. рублей</w:t>
      </w:r>
      <w:r>
        <w:rPr>
          <w:b/>
          <w:bCs/>
          <w:sz w:val="26"/>
          <w:szCs w:val="26"/>
        </w:rPr>
        <w:t xml:space="preserve"> (73,49% </w:t>
      </w:r>
      <w:r>
        <w:rPr>
          <w:sz w:val="26"/>
          <w:szCs w:val="26"/>
        </w:rPr>
        <w:t xml:space="preserve">от общей суммы расходов бюджета), </w:t>
      </w:r>
      <w:r>
        <w:rPr>
          <w:b/>
          <w:sz w:val="26"/>
          <w:szCs w:val="26"/>
        </w:rPr>
        <w:t xml:space="preserve">на 2027 год </w:t>
      </w:r>
      <w:r>
        <w:rPr>
          <w:b/>
          <w:bCs/>
          <w:color w:val="000000" w:themeColor="text1"/>
          <w:sz w:val="26"/>
          <w:szCs w:val="26"/>
          <w:lang w:eastAsia="ru-RU"/>
        </w:rPr>
        <w:t xml:space="preserve"> </w:t>
      </w:r>
      <w:r>
        <w:rPr>
          <w:b/>
          <w:bCs/>
          <w:color w:val="000000" w:themeColor="text1"/>
          <w:sz w:val="26"/>
          <w:szCs w:val="26"/>
        </w:rPr>
        <w:t xml:space="preserve">10 359 427,40 тыс. рублей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(</w:t>
      </w:r>
      <w:r>
        <w:rPr>
          <w:b/>
          <w:sz w:val="26"/>
          <w:szCs w:val="26"/>
        </w:rPr>
        <w:t xml:space="preserve">74,05%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 xml:space="preserve">от общей суммы расходов бюджета), </w:t>
      </w:r>
      <w:r>
        <w:rPr>
          <w:b/>
          <w:sz w:val="26"/>
          <w:szCs w:val="26"/>
        </w:rPr>
        <w:t xml:space="preserve">на 2028 год</w:t>
      </w:r>
      <w:r>
        <w:rPr>
          <w:sz w:val="26"/>
          <w:szCs w:val="26"/>
        </w:rPr>
        <w:t xml:space="preserve">  </w:t>
      </w:r>
      <w:r>
        <w:rPr>
          <w:b/>
          <w:color w:val="000000" w:themeColor="text1"/>
          <w:sz w:val="26"/>
          <w:szCs w:val="26"/>
        </w:rPr>
        <w:t xml:space="preserve">10 311 785,70 тыс. рублей</w:t>
      </w:r>
      <w:r>
        <w:rPr>
          <w:b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(69,19</w:t>
      </w:r>
      <w:r>
        <w:rPr>
          <w:b/>
          <w:sz w:val="26"/>
          <w:szCs w:val="26"/>
        </w:rPr>
        <w:t xml:space="preserve">%</w:t>
      </w:r>
      <w:r>
        <w:rPr>
          <w:sz w:val="26"/>
          <w:szCs w:val="26"/>
        </w:rPr>
        <w:t xml:space="preserve"> от общей суммы расходов бюджета), в том числе по муниципальным программам: </w:t>
      </w:r>
      <w:r>
        <w:rPr>
          <w:sz w:val="26"/>
          <w:szCs w:val="26"/>
        </w:rPr>
      </w:r>
    </w:p>
    <w:p>
      <w:pPr>
        <w:ind w:firstLine="709"/>
        <w:jc w:val="both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</w:p>
    <w:tbl>
      <w:tblPr>
        <w:tblW w:w="10193" w:type="dxa"/>
        <w:tblLook w:val="04A0" w:firstRow="1" w:lastRow="0" w:firstColumn="1" w:lastColumn="0" w:noHBand="0" w:noVBand="1"/>
      </w:tblPr>
      <w:tblGrid>
        <w:gridCol w:w="518"/>
        <w:gridCol w:w="4410"/>
        <w:gridCol w:w="1216"/>
        <w:gridCol w:w="1343"/>
        <w:gridCol w:w="1343"/>
        <w:gridCol w:w="1363"/>
      </w:tblGrid>
      <w:tr>
        <w:tblPrEx/>
        <w:trPr>
          <w:trHeight w:val="51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1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№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КЦСР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404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бюджетных ассигнований на реализацию муниципальных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22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1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п/п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4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программ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( тыс.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руб.)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 2026 год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 2027 год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 2028 год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3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4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6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53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Таймырского Долгано-Ненецкого муниципального округа "Защита населения и территории Таймырского </w:t>
            </w:r>
            <w:r>
              <w:rPr>
                <w:color w:val="000000"/>
                <w:sz w:val="20"/>
                <w:szCs w:val="20"/>
              </w:rPr>
              <w:t xml:space="preserve">Долгано</w:t>
            </w:r>
            <w:r>
              <w:rPr>
                <w:color w:val="000000"/>
                <w:sz w:val="20"/>
                <w:szCs w:val="20"/>
              </w:rPr>
              <w:t xml:space="preserve">–Ненецкого муниципального округа Красноярского края от чрезвычайных ситуаций природного и техногенного характера"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0100000000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258 909,04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258 909,04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258 909,04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02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Таймырского Долгано-Ненецкого муниципального округа "Развитие образования Таймырского Долгано-Ненецкого муниципального округа"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0200000000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5 287 144,25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5 127 515,91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5 080 050,91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0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Таймырского Долгано-Ненецкого муниципального округа "Развитие культуры и туризма в Таймырском Долгано-Ненецком муниципальном округе"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0300000000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1 202 422, 89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1 186 903,30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1 186 726,60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2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4.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Таймырского Долгано-Ненецкого муниципального округа "Развитие физической культуры и спорта на территории Таймырского </w:t>
            </w:r>
            <w:r>
              <w:rPr>
                <w:color w:val="000000"/>
                <w:sz w:val="20"/>
                <w:szCs w:val="20"/>
              </w:rPr>
              <w:t xml:space="preserve">Долгано</w:t>
            </w:r>
            <w:r>
              <w:rPr>
                <w:color w:val="000000"/>
                <w:sz w:val="20"/>
                <w:szCs w:val="20"/>
              </w:rPr>
              <w:t xml:space="preserve">–Ненецкого муниципального округа"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0400000000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258 888,87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236 922,94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236 922,94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6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5.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Таймырского Долгано-Ненецкого муниципального округа "Молодежь Таймыра"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0500000000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39 397,78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39 015,61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39 015,61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2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6.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Таймырского Долгано-Ненецкого муниципального округа "Развитие малого и среднего предпринимательства в Таймырском Долгано-Ненецком муниципальном округе"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0700000000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632,4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632,4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632,4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02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7.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Таймырского Долгано-Ненецкого муниципального округа "Развитие инфраструктуры Таймырского Долгано-Ненецкого муниципального округа"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0800000000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2 912096,51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2 825322,98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2 825322,98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27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8.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Таймырского Долгано-Ненецкого муниципального округа "Улучшение жилищных условий отдельных категорий граждан Таймырского </w:t>
            </w:r>
            <w:r>
              <w:rPr>
                <w:color w:val="000000"/>
                <w:sz w:val="20"/>
                <w:szCs w:val="20"/>
              </w:rPr>
              <w:t xml:space="preserve">Долгано</w:t>
            </w:r>
            <w:r>
              <w:rPr>
                <w:color w:val="000000"/>
                <w:sz w:val="20"/>
                <w:szCs w:val="20"/>
              </w:rPr>
              <w:t xml:space="preserve">–Ненецкого муниципального округа"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0900000000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42 943,04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42 727,90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42 727,90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27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9.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Таймырского Долгано-Ненецкого муниципального округа "Развитие транспортно-дорожного </w:t>
            </w:r>
            <w:r>
              <w:rPr>
                <w:color w:val="000000"/>
                <w:sz w:val="20"/>
                <w:szCs w:val="20"/>
              </w:rPr>
              <w:t xml:space="preserve">комплекса  и</w:t>
            </w:r>
            <w:r>
              <w:rPr>
                <w:color w:val="000000"/>
                <w:sz w:val="20"/>
                <w:szCs w:val="20"/>
              </w:rPr>
              <w:t xml:space="preserve"> информационного общества Таймырского Долгано-Ненецкого муниципального округа"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1000000000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659 513,24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641 477,32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641 477,32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ИТОГО: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10 661 948,03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43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10 359 427,40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10 311 785,70</w:t>
            </w:r>
            <w:r>
              <w:rPr>
                <w:sz w:val="18"/>
                <w:szCs w:val="18"/>
              </w:rPr>
            </w:r>
          </w:p>
        </w:tc>
      </w:tr>
    </w:tbl>
    <w:p>
      <w:pPr>
        <w:ind w:firstLine="709"/>
        <w:jc w:val="both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</w:p>
    <w:p>
      <w:pPr>
        <w:ind w:firstLine="709"/>
        <w:jc w:val="both"/>
        <w:spacing w:after="120"/>
        <w:rPr>
          <w:b/>
          <w:sz w:val="26"/>
          <w:szCs w:val="26"/>
        </w:rPr>
      </w:pPr>
      <w:r>
        <w:rPr>
          <w:sz w:val="26"/>
          <w:szCs w:val="26"/>
        </w:rPr>
        <w:t xml:space="preserve">В расходной части бюджета муниципального округа по отдельным кодам классификации расходов отражены бюджетные ассигнования на выполнение условий по </w:t>
      </w:r>
      <w:r>
        <w:rPr>
          <w:sz w:val="26"/>
          <w:szCs w:val="26"/>
        </w:rPr>
        <w:t xml:space="preserve">софинансированию</w:t>
      </w:r>
      <w:r>
        <w:rPr>
          <w:sz w:val="26"/>
          <w:szCs w:val="26"/>
        </w:rPr>
        <w:t xml:space="preserve"> соответствующих мероприятий:</w:t>
      </w:r>
      <w:r>
        <w:rPr>
          <w:b/>
          <w:sz w:val="26"/>
          <w:szCs w:val="26"/>
        </w:rPr>
      </w:r>
    </w:p>
    <w:p>
      <w:pPr>
        <w:ind w:firstLine="709"/>
        <w:jc w:val="both"/>
        <w:rPr>
          <w:b/>
          <w:color w:val="ff0000"/>
          <w:sz w:val="26"/>
          <w:szCs w:val="26"/>
        </w:rPr>
      </w:pPr>
      <w:r>
        <w:rPr>
          <w:b/>
          <w:sz w:val="26"/>
          <w:szCs w:val="26"/>
        </w:rPr>
        <w:t xml:space="preserve">-</w:t>
      </w:r>
      <w:r>
        <w:rPr>
          <w:b/>
          <w:bCs/>
          <w:sz w:val="26"/>
          <w:szCs w:val="26"/>
        </w:rPr>
        <w:t xml:space="preserve"> </w:t>
      </w:r>
      <w:r>
        <w:rPr>
          <w:b/>
          <w:sz w:val="26"/>
          <w:szCs w:val="26"/>
        </w:rPr>
        <w:t xml:space="preserve">в 2026 году</w:t>
      </w:r>
      <w:r>
        <w:rPr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по</w:t>
      </w:r>
      <w:r>
        <w:rPr>
          <w:b/>
          <w:color w:val="000000" w:themeColor="text1"/>
          <w:sz w:val="26"/>
          <w:szCs w:val="26"/>
        </w:rPr>
        <w:t xml:space="preserve"> 20-ти </w:t>
      </w:r>
      <w:r>
        <w:rPr>
          <w:color w:val="000000" w:themeColor="text1"/>
          <w:sz w:val="26"/>
          <w:szCs w:val="26"/>
        </w:rPr>
        <w:t xml:space="preserve">направлениям расходования средств на общую сумму</w:t>
      </w:r>
      <w:r>
        <w:rPr>
          <w:color w:val="ff0000"/>
          <w:sz w:val="26"/>
          <w:szCs w:val="26"/>
        </w:rPr>
        <w:t xml:space="preserve">                   </w:t>
      </w:r>
      <w:r>
        <w:rPr>
          <w:b/>
          <w:color w:val="000000" w:themeColor="text1"/>
          <w:sz w:val="26"/>
          <w:szCs w:val="26"/>
        </w:rPr>
        <w:t xml:space="preserve">5 138,35 тыс. рубле</w:t>
      </w:r>
      <w:r>
        <w:rPr>
          <w:b/>
          <w:bCs/>
          <w:color w:val="000000" w:themeColor="text1"/>
          <w:sz w:val="26"/>
          <w:szCs w:val="26"/>
        </w:rPr>
        <w:t xml:space="preserve">й;</w:t>
      </w:r>
      <w:r>
        <w:rPr>
          <w:b/>
          <w:color w:val="ff0000"/>
          <w:sz w:val="26"/>
          <w:szCs w:val="26"/>
        </w:rPr>
      </w:r>
    </w:p>
    <w:p>
      <w:pPr>
        <w:ind w:firstLine="709"/>
        <w:jc w:val="both"/>
        <w:rPr>
          <w:b/>
          <w:color w:val="ff0000"/>
          <w:sz w:val="26"/>
          <w:szCs w:val="26"/>
        </w:rPr>
      </w:pPr>
      <w:r>
        <w:rPr>
          <w:b/>
          <w:sz w:val="26"/>
          <w:szCs w:val="26"/>
        </w:rPr>
        <w:t xml:space="preserve">-</w:t>
      </w:r>
      <w:r>
        <w:rPr>
          <w:b/>
          <w:bCs/>
          <w:sz w:val="26"/>
          <w:szCs w:val="26"/>
        </w:rPr>
        <w:t xml:space="preserve"> </w:t>
      </w:r>
      <w:r>
        <w:rPr>
          <w:b/>
          <w:sz w:val="26"/>
          <w:szCs w:val="26"/>
        </w:rPr>
        <w:t xml:space="preserve">в 2027 </w:t>
      </w:r>
      <w:r>
        <w:rPr>
          <w:color w:val="000000" w:themeColor="text1"/>
          <w:sz w:val="26"/>
          <w:szCs w:val="26"/>
        </w:rPr>
        <w:t xml:space="preserve">по</w:t>
      </w:r>
      <w:r>
        <w:rPr>
          <w:b/>
          <w:color w:val="000000" w:themeColor="text1"/>
          <w:sz w:val="26"/>
          <w:szCs w:val="26"/>
        </w:rPr>
        <w:t xml:space="preserve"> 20-ти</w:t>
      </w:r>
      <w:r>
        <w:rPr>
          <w:color w:val="000000" w:themeColor="text1"/>
          <w:sz w:val="26"/>
          <w:szCs w:val="26"/>
        </w:rPr>
        <w:t xml:space="preserve"> направлениям расходования средств на общую сумму</w:t>
      </w:r>
      <w:r>
        <w:rPr>
          <w:color w:val="ff0000"/>
          <w:sz w:val="26"/>
          <w:szCs w:val="26"/>
        </w:rPr>
        <w:t xml:space="preserve">                                       </w:t>
      </w:r>
      <w:r>
        <w:rPr>
          <w:b/>
          <w:color w:val="000000" w:themeColor="text1"/>
          <w:sz w:val="26"/>
          <w:szCs w:val="26"/>
        </w:rPr>
        <w:t xml:space="preserve">4 921,45 тыс. рублей;</w:t>
      </w:r>
      <w:r>
        <w:rPr>
          <w:b/>
          <w:color w:val="ff0000"/>
          <w:sz w:val="26"/>
          <w:szCs w:val="26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-</w:t>
      </w:r>
      <w:r>
        <w:rPr>
          <w:b/>
          <w:bCs/>
          <w:sz w:val="26"/>
          <w:szCs w:val="26"/>
        </w:rPr>
        <w:t xml:space="preserve"> </w:t>
      </w:r>
      <w:r>
        <w:rPr>
          <w:b/>
          <w:sz w:val="26"/>
          <w:szCs w:val="26"/>
        </w:rPr>
        <w:t xml:space="preserve">в 2028 </w:t>
      </w:r>
      <w:r>
        <w:rPr>
          <w:color w:val="000000" w:themeColor="text1"/>
          <w:sz w:val="26"/>
          <w:szCs w:val="26"/>
        </w:rPr>
        <w:t xml:space="preserve">по</w:t>
      </w:r>
      <w:r>
        <w:rPr>
          <w:b/>
          <w:color w:val="000000" w:themeColor="text1"/>
          <w:sz w:val="26"/>
          <w:szCs w:val="26"/>
        </w:rPr>
        <w:t xml:space="preserve"> 20-ти</w:t>
      </w:r>
      <w:r>
        <w:rPr>
          <w:color w:val="000000" w:themeColor="text1"/>
          <w:sz w:val="26"/>
          <w:szCs w:val="26"/>
        </w:rPr>
        <w:t xml:space="preserve"> направлениям расходования средств на общую сумму </w:t>
      </w:r>
      <w:r>
        <w:rPr>
          <w:color w:val="ff0000"/>
          <w:sz w:val="26"/>
          <w:szCs w:val="26"/>
        </w:rPr>
        <w:t xml:space="preserve">                            </w:t>
      </w:r>
      <w:r>
        <w:rPr>
          <w:b/>
          <w:bCs/>
          <w:color w:val="ff0000"/>
          <w:sz w:val="26"/>
          <w:szCs w:val="26"/>
          <w:lang w:eastAsia="ru-RU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4 891,31 тыс. рублей</w:t>
      </w:r>
      <w:r>
        <w:rPr>
          <w:color w:val="000000" w:themeColor="text1"/>
          <w:sz w:val="26"/>
          <w:szCs w:val="26"/>
        </w:rPr>
        <w:t xml:space="preserve">, в том числе: </w:t>
      </w:r>
      <w:r>
        <w:rPr>
          <w:sz w:val="26"/>
          <w:szCs w:val="26"/>
        </w:rPr>
      </w:r>
    </w:p>
    <w:p>
      <w:pPr>
        <w:ind w:firstLine="720"/>
        <w:jc w:val="both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</w:p>
    <w:tbl>
      <w:tblPr>
        <w:tblW w:w="10175" w:type="dxa"/>
        <w:tblLook w:val="04A0" w:firstRow="1" w:lastRow="0" w:firstColumn="1" w:lastColumn="0" w:noHBand="0" w:noVBand="1"/>
      </w:tblPr>
      <w:tblGrid>
        <w:gridCol w:w="843"/>
        <w:gridCol w:w="5047"/>
        <w:gridCol w:w="1297"/>
        <w:gridCol w:w="1017"/>
        <w:gridCol w:w="1035"/>
        <w:gridCol w:w="936"/>
      </w:tblGrid>
      <w:tr>
        <w:tblPrEx/>
        <w:trPr>
          <w:trHeight w:val="30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№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КЦСР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99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расходов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п/п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(тыс. руб.) 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 2026 год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 2027 год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 2028 год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3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4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6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88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приведение зданий и сооружений общеобразовательных организаций в соответствие с требованиями законодательства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61" w:type="dxa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02100S5630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45,33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45,33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45,33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6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61" w:type="dxa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02100S5820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31,84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31,84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31,84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организацию и обеспечение обучающихся по образовательным программам начального общего образования в муниципальных образовательных организациях бесплатным горячим питанием, предусматривающим наличие горячего блюда, не считая горячего напитка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61" w:type="dxa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02200L3040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48,96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47,20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17,06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6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4.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организацию и обеспечение бесплатным двухразовым питанием обучающихся с ограниченными возможностями здоровья в муниципальных общеобразовательных организациях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61" w:type="dxa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02200S5830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22,63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22,63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22,63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6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5.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государственную поддержку отрасли культуры (модернизация библиотек в части комплектования книжных фондов)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61" w:type="dxa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03000L5190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6,13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6,13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6, 13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8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6.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комплектование книжных фондов библиотек муниципальных образований Красноярского края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61" w:type="dxa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03000S4880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472,53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472,53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472,53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51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7.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поддержку деятельности муниципальных молодежных центров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61" w:type="dxa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05000S4560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237,70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237,70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237,70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104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8.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</w:t>
            </w:r>
            <w:r>
              <w:rPr>
                <w:color w:val="000000"/>
                <w:sz w:val="20"/>
                <w:szCs w:val="20"/>
              </w:rPr>
              <w:t xml:space="preserve">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61" w:type="dxa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08000S5710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351,48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351,48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351,48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817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9.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61" w:type="dxa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08000S5720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50,00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5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10.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61" w:type="dxa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09000L1780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215,14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 11.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предоставление социальных выплат молодым семьям на приобретение (строительство) жилья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09100L4970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2 500,00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2 500,00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2 500,00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12.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улучшение услуг связи муниципальных образований края, расположенных на территории Арктической зоны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10000S6451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26,26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26,26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26,26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13.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10200SД140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313,12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313,12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313,12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14.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10200SД160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24,90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24,90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24,90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15.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реализацию мероприятий, направленных на повышение безопасности дорожного движения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102И59Д120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81,18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81,18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81,18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16.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первичных мер пожарной безопасности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30000S4120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11,04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11,04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11,04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17.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реализацию мероприятий по переселению граждан, проживающих в жилых помещениях, непригодных для проживания, в многоквартирных домах, признанных аварийными и подлежащими сносу или реконструкции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30000S4620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100,00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18.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обустройство мест (площадок) накопления отходов потребления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30000S4630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100,00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19.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содержание памятников и памятных знаков, установленных в честь героической обороны поселка Диксон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30000S4830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0,10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0,10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0,10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20.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предоставление субсидии на реализацию мероприятий по развитию инфраструктуры в соответствии с долгосрочным планом комплексного социально-экономического развития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30000S504Н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500,00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074" w:type="dxa"/>
            <w:vMerge w:val="restart"/>
            <w:textDirection w:val="lrTb"/>
            <w:noWrap w:val="false"/>
          </w:tcPr>
          <w:p>
            <w:pPr>
              <w:rPr>
                <w:rFonts w:ascii="Arial" w:hAnsi="Arial" w:eastAsia="Arial" w:cs="Arial"/>
                <w:b/>
                <w:color w:val="000000"/>
                <w:sz w:val="16"/>
              </w:rPr>
            </w:pPr>
            <w:r>
              <w:rPr>
                <w:rFonts w:ascii="Arial" w:hAnsi="Arial" w:eastAsia="Arial" w:cs="Arial"/>
                <w:b/>
                <w:color w:val="000000"/>
                <w:sz w:val="16"/>
              </w:rPr>
            </w:r>
            <w:r>
              <w:rPr>
                <w:rFonts w:ascii="Arial" w:hAnsi="Arial" w:eastAsia="Arial" w:cs="Arial"/>
                <w:b/>
                <w:color w:val="000000"/>
                <w:sz w:val="16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Merge w:val="restart"/>
            <w:textDirection w:val="lrTb"/>
            <w:noWrap w:val="false"/>
          </w:tcPr>
          <w:p>
            <w:pPr>
              <w:jc w:val="right"/>
              <w:rPr>
                <w:rFonts w:ascii="Arial" w:hAnsi="Arial" w:eastAsia="Arial" w:cs="Arial"/>
                <w:b/>
                <w:color w:val="000000"/>
                <w:sz w:val="16"/>
              </w:rPr>
            </w:pPr>
            <w:r>
              <w:rPr>
                <w:rFonts w:ascii="Arial" w:hAnsi="Arial" w:eastAsia="Arial" w:cs="Arial"/>
                <w:b/>
                <w:color w:val="000000"/>
                <w:sz w:val="16"/>
              </w:rPr>
            </w:r>
            <w:r>
              <w:rPr>
                <w:rFonts w:ascii="Arial" w:hAnsi="Arial" w:eastAsia="Arial" w:cs="Arial"/>
                <w:b/>
                <w:color w:val="000000"/>
                <w:sz w:val="16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Merge w:val="restart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Arial" w:hAnsi="Arial" w:eastAsia="Arial" w:cs="Arial"/>
                <w:b/>
                <w:bCs/>
                <w:color w:val="000000"/>
                <w:sz w:val="16"/>
              </w:rPr>
              <w:t xml:space="preserve">5 138,35</w:t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Arial" w:hAnsi="Arial" w:eastAsia="Arial" w:cs="Arial"/>
                <w:b/>
                <w:bCs/>
                <w:color w:val="000000"/>
                <w:sz w:val="16"/>
              </w:rPr>
              <w:t xml:space="preserve">4 921,45  </w:t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38" w:type="dxa"/>
            <w:vMerge w:val="restart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Arial" w:hAnsi="Arial" w:eastAsia="Arial" w:cs="Arial"/>
                <w:b/>
                <w:bCs/>
                <w:color w:val="000000"/>
                <w:sz w:val="16"/>
              </w:rPr>
              <w:t xml:space="preserve">4 891,31 </w:t>
            </w:r>
            <w:r>
              <w:rPr>
                <w:b/>
                <w:bCs/>
              </w:rPr>
            </w:r>
          </w:p>
        </w:tc>
      </w:tr>
    </w:tbl>
    <w:p>
      <w:pPr>
        <w:ind w:firstLine="720"/>
        <w:jc w:val="both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Указанные расходы позволят привлечь в бюджет муниципального округа дополнительные средства на решение вопросов местного значения в виде межбюджетных субсидий из бюджета Красноярского края.  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В соответствии </w:t>
      </w:r>
      <w:r>
        <w:rPr>
          <w:sz w:val="26"/>
          <w:szCs w:val="26"/>
          <w:lang w:val="en-US"/>
        </w:rPr>
        <w:t xml:space="preserve">c</w:t>
      </w:r>
      <w:r>
        <w:rPr>
          <w:sz w:val="26"/>
          <w:szCs w:val="26"/>
        </w:rPr>
        <w:t xml:space="preserve"> Порядком № 636 для планирования бюджетных ассигнований на оказание муниципальными учреждениями муниципальных услуг,</w:t>
      </w:r>
      <w:r>
        <w:rPr>
          <w:sz w:val="26"/>
          <w:szCs w:val="26"/>
        </w:rPr>
        <w:t xml:space="preserve"> применялась информация согласно приложению 3 к вышеуказанному порядку об объемах бюджетных ассигнований, направляемых на исполнение муниципального задания в 2026-2028 годах и расчеты по субсидиям, предоставленные главными распорядителями средств бюджета м</w:t>
      </w:r>
      <w:r>
        <w:rPr>
          <w:sz w:val="26"/>
          <w:szCs w:val="26"/>
        </w:rPr>
        <w:t xml:space="preserve">униципального округа, произведенные в соответствии с Порядками определения нормативных затрат на оказание (выполнение) муниципальных услуг (работ) и нормативных затрат на содержание имущества муниципальных учреждений, а также проекты муниципальных заданий.</w:t>
      </w:r>
      <w:r>
        <w:rPr>
          <w:sz w:val="26"/>
          <w:szCs w:val="26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Объем субсидий, предоставляемых </w:t>
      </w:r>
      <w:r>
        <w:rPr>
          <w:b/>
          <w:bCs/>
          <w:sz w:val="26"/>
          <w:szCs w:val="26"/>
        </w:rPr>
        <w:t xml:space="preserve">19-ти муниципальным бюджетным и 3-м автономным учреждениям на возмещение нормативных затрат, </w:t>
      </w:r>
      <w:r>
        <w:rPr>
          <w:sz w:val="26"/>
          <w:szCs w:val="26"/>
        </w:rPr>
        <w:t xml:space="preserve">связанных с оказанием ими в соответствии с муниципальным заданием муниципальных услуг (выполнением работ), а также на иные цели запланирован </w:t>
      </w:r>
      <w:r>
        <w:rPr>
          <w:b/>
          <w:sz w:val="26"/>
          <w:szCs w:val="26"/>
        </w:rPr>
        <w:t xml:space="preserve">на 2026 год</w:t>
      </w:r>
      <w:r>
        <w:rPr>
          <w:sz w:val="26"/>
          <w:szCs w:val="26"/>
        </w:rPr>
        <w:t xml:space="preserve"> в общей сумме                                              </w:t>
      </w:r>
      <w:r>
        <w:rPr>
          <w:b/>
          <w:bCs/>
          <w:color w:val="000000" w:themeColor="text1"/>
          <w:sz w:val="26"/>
          <w:szCs w:val="26"/>
        </w:rPr>
        <w:t xml:space="preserve">2 006 099,32</w:t>
      </w:r>
      <w:r>
        <w:rPr>
          <w:b/>
          <w:bCs/>
          <w:color w:val="000000" w:themeColor="text1"/>
          <w:sz w:val="26"/>
          <w:szCs w:val="26"/>
          <w:lang w:eastAsia="ru-RU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тыс. рублей</w:t>
      </w:r>
      <w:r>
        <w:rPr>
          <w:sz w:val="26"/>
          <w:szCs w:val="26"/>
        </w:rPr>
        <w:t xml:space="preserve">, </w:t>
      </w:r>
      <w:r>
        <w:rPr>
          <w:b/>
          <w:sz w:val="26"/>
          <w:szCs w:val="26"/>
        </w:rPr>
        <w:t xml:space="preserve">на 2027 и 2028 годы</w:t>
      </w:r>
      <w:r>
        <w:rPr>
          <w:sz w:val="26"/>
          <w:szCs w:val="26"/>
        </w:rPr>
        <w:t xml:space="preserve"> в общей сумме</w:t>
      </w:r>
      <w:r>
        <w:rPr>
          <w:b/>
          <w:bCs/>
          <w:sz w:val="26"/>
          <w:szCs w:val="26"/>
        </w:rPr>
        <w:t xml:space="preserve"> 3 927 784,46</w:t>
      </w:r>
      <w:r>
        <w:rPr>
          <w:b/>
          <w:bCs/>
          <w:color w:val="000000"/>
          <w:sz w:val="26"/>
          <w:szCs w:val="26"/>
          <w:lang w:eastAsia="ru-RU"/>
        </w:rPr>
        <w:t xml:space="preserve"> </w:t>
      </w:r>
      <w:r>
        <w:rPr>
          <w:b/>
          <w:sz w:val="26"/>
          <w:szCs w:val="26"/>
        </w:rPr>
        <w:t xml:space="preserve">тыс. рублей</w:t>
      </w:r>
      <w:r>
        <w:rPr>
          <w:sz w:val="26"/>
          <w:szCs w:val="26"/>
        </w:rPr>
        <w:t xml:space="preserve">, в том числе: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972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5"/>
        <w:gridCol w:w="3543"/>
        <w:gridCol w:w="1417"/>
        <w:gridCol w:w="1276"/>
        <w:gridCol w:w="1276"/>
        <w:gridCol w:w="1358"/>
        <w:gridCol w:w="8"/>
      </w:tblGrid>
      <w:tr>
        <w:tblPrEx/>
        <w:trPr>
          <w:trHeight w:val="884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4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№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ЦСР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4"/>
            <w:shd w:val="clear" w:color="000000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91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расходов на предоставление субсидий муниципальным бюджетным, автономным учреждениям и некоммерческим организациям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84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п/п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4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91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(тыс. руб.)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2026  год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 2027 год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 2028 год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3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4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6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УЧРЕЖДЕНИЯМ: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1 738 974,99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1 719 316,86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1 719 140,16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037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1.1.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1 512 882,71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1 512 500,54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1 512 500,54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518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1.1.1.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дошкольных учреждений муниципального округа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02.1.00.02010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266 278,40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266 278,40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266 278,40 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98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1.1.2.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дополнительного образования детей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02.1.00.02040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51 638,49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51 638,49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51 638,49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8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1.1.3.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</w:t>
            </w:r>
            <w:r>
              <w:rPr>
                <w:color w:val="000000"/>
                <w:sz w:val="20"/>
                <w:szCs w:val="20"/>
              </w:rPr>
              <w:t xml:space="preserve">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</w:t>
            </w:r>
            <w:r>
              <w:rPr>
                <w:color w:val="000000"/>
                <w:sz w:val="20"/>
                <w:szCs w:val="20"/>
              </w:rPr>
              <w:t xml:space="preserve">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02.1.00.74080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107 503,51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107 503,51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107 503,51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1.1.4.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</w:t>
            </w:r>
            <w:r>
              <w:rPr>
                <w:color w:val="000000"/>
                <w:sz w:val="20"/>
                <w:szCs w:val="20"/>
              </w:rPr>
              <w:t xml:space="preserve">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</w:t>
            </w:r>
            <w:r>
              <w:rPr>
                <w:color w:val="000000"/>
                <w:sz w:val="20"/>
                <w:szCs w:val="20"/>
              </w:rPr>
              <w:t xml:space="preserve">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02.1.00.75880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293 545,58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293 545,58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293 545,58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518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1.1.5.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дополнительного образования детей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03.0.00.02040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158 474,54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158 474,54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158 474,54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5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1.1.6.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учреждений, реализующих мероприятия в сфере культурно-досуговой деятельности и создание условий для художественного и народного творчества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03.0.00.02210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458 242,04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458 242,04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458 242,04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037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1.1.7.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учреждений, осуществляющих библиотечное обслуживание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03.0.00.02220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115 363,38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115 363,38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115 363,38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296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1.1.8.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муниципального учреждения, реализующего мероприятия в сфере молодежной политики на территории муниципального округа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05.0.00.02080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32 501,53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32 119,36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32 119,36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518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 1.1.9.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поддержку деятельности муниципальных молодежных центров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05.0.</w:t>
            </w:r>
            <w:r>
              <w:rPr>
                <w:color w:val="000000"/>
                <w:sz w:val="20"/>
                <w:szCs w:val="20"/>
              </w:rPr>
              <w:t xml:space="preserve">00.S</w:t>
            </w:r>
            <w:r>
              <w:rPr>
                <w:color w:val="000000"/>
                <w:sz w:val="20"/>
                <w:szCs w:val="20"/>
              </w:rPr>
              <w:t xml:space="preserve">4560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1 426,20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</w:pPr>
            <w:r>
              <w:rPr>
                <w:sz w:val="20"/>
                <w:szCs w:val="20"/>
              </w:rPr>
              <w:t xml:space="preserve">1 426,20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textDirection w:val="lrTb"/>
            <w:noWrap w:val="false"/>
          </w:tcPr>
          <w:p>
            <w:pPr>
              <w:jc w:val="right"/>
            </w:pPr>
            <w:r>
              <w:rPr>
                <w:sz w:val="20"/>
                <w:szCs w:val="20"/>
              </w:rPr>
              <w:t xml:space="preserve">1 426,20</w:t>
            </w:r>
            <w:r/>
          </w:p>
        </w:tc>
      </w:tr>
      <w:tr>
        <w:tblPrEx/>
        <w:trPr>
          <w:gridAfter w:val="1"/>
          <w:trHeight w:val="777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1.1.10.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учреждений, реализующих мероприятия в сфере организации ритуальных услуг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30.0.00.02230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25 531,04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  <w:sz w:val="20"/>
                <w:szCs w:val="20"/>
              </w:rPr>
              <w:t xml:space="preserve">25 531,04</w:t>
            </w:r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  <w:sz w:val="20"/>
                <w:szCs w:val="20"/>
              </w:rPr>
              <w:t xml:space="preserve">25 531,04</w:t>
            </w:r>
            <w:r/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1.1.11.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содержание и обслуживание мобильных моргов, содержание мест захоронения, организацию похорон и предоставление связанных с ними услуг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30.0.00.04001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2 377,99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2 377,99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2 377,99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777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1.2.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Субсидии бюджетным учреждениям на иные цели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03.0.</w:t>
            </w:r>
            <w:r>
              <w:rPr>
                <w:b/>
                <w:color w:val="000000"/>
                <w:sz w:val="20"/>
                <w:szCs w:val="20"/>
              </w:rPr>
              <w:t xml:space="preserve">00.S</w:t>
            </w:r>
            <w:r>
              <w:rPr>
                <w:b/>
                <w:color w:val="000000"/>
                <w:sz w:val="20"/>
                <w:szCs w:val="20"/>
              </w:rPr>
              <w:t xml:space="preserve">4880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37 309,76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18 033,80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17 857,10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518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1.2.1.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дошкольных учреждений муниципального округа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02.1.00.02010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16 112,35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1 042,50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  <w:r>
              <w:rPr>
                <w:color w:val="000000"/>
                <w:sz w:val="20"/>
                <w:szCs w:val="20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  <w:t xml:space="preserve">042</w:t>
            </w:r>
            <w:r>
              <w:rPr>
                <w:color w:val="000000"/>
                <w:sz w:val="20"/>
                <w:szCs w:val="20"/>
              </w:rPr>
              <w:t xml:space="preserve">,</w:t>
            </w:r>
            <w:r>
              <w:rPr>
                <w:color w:val="000000"/>
                <w:sz w:val="20"/>
                <w:szCs w:val="20"/>
              </w:rPr>
              <w:t xml:space="preserve">50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518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1.2.2.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дополнительного образования детей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02.1.00.02040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4 695,16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4 695,16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4 695,16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581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 1.2.3.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исполнение государственных полномочий по осуществлению присмотра и ухода за детьми-инвалидами, детьми-си</w:t>
            </w:r>
            <w:r>
              <w:rPr>
                <w:color w:val="000000"/>
                <w:sz w:val="20"/>
                <w:szCs w:val="20"/>
              </w:rPr>
              <w:t xml:space="preserve">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02.1.00.75540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512,25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512,25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512,25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1.2.4.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bottom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приведение зданий и сооружений организаций, реализующих образовательные </w:t>
            </w:r>
            <w:r>
              <w:rPr>
                <w:color w:val="000000"/>
                <w:sz w:val="20"/>
                <w:szCs w:val="20"/>
              </w:rPr>
              <w:t xml:space="preserve">программы дошкольного образования, в соответствие с требованиями законодательства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02.1.00.S5820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3 183,84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3 183,84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3 183,84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1.2.5.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bottom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дополнительного образования детей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03.0.00.02040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3 808,5</w:t>
            </w:r>
            <w:r>
              <w:rPr>
                <w:color w:val="000000"/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3 808,5</w:t>
            </w:r>
            <w:r>
              <w:rPr>
                <w:color w:val="000000"/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3 808,5</w:t>
            </w:r>
            <w:r>
              <w:rPr>
                <w:color w:val="000000"/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1.2.6.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bottom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учреждений, реализующих мероприятия в сфере культурно-досуговой деятельности и создание условий для художественного и народного творчества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03.0.00.02210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6 031,60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1 849,99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1 849,99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1.2.7.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bottom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учреждений, осуществляющих библиотечное обслуживание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03.0.00.02220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1 023,74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1 023,74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1 023,74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1.2.8.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bottom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государственную поддержку отрасли культуры (модернизация библиотек в части комплектования книжных фондов)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03.0.00.L5190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306, 63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282,13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105,43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1.2.9.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bottom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комплектование книжных фондов библиотек муниципальных образований Красноярского края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03.0.00.S4880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1 635,66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1 635,66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1 635,66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1.3.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bottom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188 782,52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188 782,52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  <w:r>
              <w:rPr>
                <w:b/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188 782,52</w:t>
            </w:r>
            <w:r>
              <w:rPr>
                <w:b/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1.3.1.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bottom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 дополнительного образования детей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02.1.00.02040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128 896,31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128 896,31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128 896,31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1.3.2.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bottom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функционирования модели персонифицированного финансирования дополнительного образования детей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02.1.00.02180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59 886,21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59 886,21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59 886,21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2.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bottom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Субсидии автономным учреждениям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267 124,33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244 663,72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244 663,72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2.1.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bottom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246 139,15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244 548,72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244 548,72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2.1.1.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bottom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учреждений, реализующих мероприятия в сфере культурно-досуговой деятельности и создание условий для художественного и народного творчества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03.0.00.02210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18 351,94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18 351,94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18 351,94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2.1.2.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bottom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учреждений, реализующих мероприятия в сфере физической культуры и спорта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04.0.00.02190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227 787,21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226 196,78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226 196,78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2.2.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bottom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Субсидии автономным учреждениям на иные цели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04.0.00.02190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20 985,18</w:t>
            </w: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115,00</w:t>
            </w: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115,00</w:t>
            </w:r>
            <w:r>
              <w:rPr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2.2.1.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bottom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учреждений, реализующих мероприятия в сфере культурно-досуговой деятельности и создание </w:t>
            </w:r>
            <w:r>
              <w:rPr>
                <w:color w:val="000000"/>
                <w:sz w:val="20"/>
                <w:szCs w:val="20"/>
              </w:rPr>
              <w:t xml:space="preserve">условий для художественного и народного творчества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03.0.00.02210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609,67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115,00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115,00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2.2.2.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bottom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обеспечение деятельности муниципальных учреждений, реализующих мероприятия в сфере физической культуры и спорта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04.0.00.02190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20 375,51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bottom"/>
            <w:vMerge w:val="restart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2 006 099,32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1 963 980,58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5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1 963 803,88</w:t>
            </w:r>
            <w:r>
              <w:rPr>
                <w:b/>
                <w:bCs/>
                <w:sz w:val="20"/>
                <w:szCs w:val="20"/>
              </w:rPr>
            </w:r>
          </w:p>
        </w:tc>
      </w:tr>
    </w:tbl>
    <w:p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720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Кроме того, в расходной части бюджета муниципального окру</w:t>
      </w:r>
      <w:r>
        <w:rPr>
          <w:sz w:val="26"/>
          <w:szCs w:val="26"/>
        </w:rPr>
        <w:t xml:space="preserve">га на 2026 год и плановый период 2027-2028 годов предусмотрено предоставление субсидии некоммерческим организациям (за исключением муниципальных учреждений) на обеспечение (возмещение) исполнения муниципального социального заказа в сумме                   </w:t>
      </w:r>
      <w:r>
        <w:rPr>
          <w:b/>
          <w:bCs/>
          <w:sz w:val="26"/>
          <w:szCs w:val="26"/>
        </w:rPr>
        <w:t xml:space="preserve">4 565,21 тыс. рублей ежегодно.</w:t>
      </w:r>
      <w:r>
        <w:rPr>
          <w:b/>
          <w:bCs/>
          <w:sz w:val="26"/>
          <w:szCs w:val="26"/>
        </w:rPr>
      </w:r>
    </w:p>
    <w:p>
      <w:pPr>
        <w:ind w:firstLine="720"/>
        <w:jc w:val="both"/>
        <w:spacing w:after="120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В результате бюджет </w:t>
      </w:r>
      <w:r>
        <w:rPr>
          <w:b/>
          <w:bCs/>
          <w:sz w:val="26"/>
          <w:szCs w:val="26"/>
        </w:rPr>
        <w:t xml:space="preserve">муниципального округа п</w:t>
      </w:r>
      <w:r>
        <w:rPr>
          <w:b/>
          <w:sz w:val="26"/>
          <w:szCs w:val="26"/>
        </w:rPr>
        <w:t xml:space="preserve">о расходам сформирован:</w:t>
      </w:r>
      <w:r>
        <w:rPr>
          <w:b/>
          <w:sz w:val="26"/>
          <w:szCs w:val="26"/>
          <w:u w:val="single"/>
        </w:rPr>
      </w:r>
    </w:p>
    <w:p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На 2026 год в объеме 14 508 441,14</w:t>
      </w:r>
      <w:r>
        <w:rPr>
          <w:b/>
          <w:bCs/>
          <w:sz w:val="26"/>
          <w:szCs w:val="26"/>
          <w:u w:val="single"/>
          <w:lang w:eastAsia="ru-RU"/>
        </w:rPr>
        <w:t xml:space="preserve"> </w:t>
      </w:r>
      <w:r>
        <w:rPr>
          <w:b/>
          <w:sz w:val="26"/>
          <w:szCs w:val="26"/>
          <w:u w:val="single"/>
        </w:rPr>
        <w:t xml:space="preserve">тыс. рублей, в том числе:</w:t>
      </w:r>
      <w:r>
        <w:rPr>
          <w:b/>
          <w:sz w:val="26"/>
          <w:szCs w:val="26"/>
        </w:rPr>
      </w:r>
    </w:p>
    <w:p>
      <w:pPr>
        <w:ind w:firstLine="720"/>
        <w:jc w:val="both"/>
        <w:spacing w:after="12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</w:t>
      </w:r>
      <w:r>
        <w:rPr>
          <w:sz w:val="26"/>
          <w:szCs w:val="26"/>
        </w:rPr>
        <w:t xml:space="preserve"> Расходы, осуществляемые за счет собственных доходов и источников финансирования дефицита бюджета муниципального округа, а также дотаций, предоставляемых из краевого бюджета, составят </w:t>
      </w:r>
      <w:r>
        <w:rPr>
          <w:b/>
          <w:bCs/>
          <w:sz w:val="26"/>
          <w:szCs w:val="26"/>
        </w:rPr>
        <w:t xml:space="preserve">8 405 563,94 тыс. рублей </w:t>
      </w:r>
      <w:r>
        <w:rPr>
          <w:sz w:val="26"/>
          <w:szCs w:val="26"/>
        </w:rPr>
        <w:t xml:space="preserve">или</w:t>
      </w:r>
      <w:r>
        <w:rPr>
          <w:b/>
          <w:bCs/>
          <w:sz w:val="26"/>
          <w:szCs w:val="26"/>
        </w:rPr>
        <w:t xml:space="preserve"> 57,94 % </w:t>
      </w:r>
      <w:r>
        <w:rPr>
          <w:sz w:val="26"/>
          <w:szCs w:val="26"/>
        </w:rPr>
        <w:t xml:space="preserve">от общего объема расходов.</w:t>
      </w:r>
      <w:r>
        <w:rPr>
          <w:b/>
          <w:sz w:val="26"/>
          <w:szCs w:val="26"/>
        </w:rPr>
      </w:r>
    </w:p>
    <w:p>
      <w:pPr>
        <w:ind w:firstLine="720"/>
        <w:jc w:val="both"/>
        <w:rPr>
          <w:b/>
          <w:color w:val="ff0000"/>
          <w:sz w:val="26"/>
          <w:szCs w:val="26"/>
        </w:rPr>
      </w:pPr>
      <w:r>
        <w:rPr>
          <w:b/>
          <w:sz w:val="26"/>
          <w:szCs w:val="26"/>
        </w:rPr>
        <w:t xml:space="preserve">2.</w:t>
      </w:r>
      <w:r>
        <w:rPr>
          <w:sz w:val="26"/>
          <w:szCs w:val="26"/>
        </w:rPr>
        <w:t xml:space="preserve"> Расходы за счет целевых средств (субвенций и субсидий), предоставляемых в 2026 году из бюджета Красноярского края предусмотрены в сумме</w:t>
      </w:r>
      <w:r>
        <w:rPr>
          <w:b/>
          <w:bCs/>
          <w:sz w:val="26"/>
          <w:szCs w:val="26"/>
        </w:rPr>
        <w:t xml:space="preserve"> 6 102 877,20 тыс. рублей </w:t>
      </w:r>
      <w:r>
        <w:rPr>
          <w:sz w:val="26"/>
          <w:szCs w:val="26"/>
        </w:rPr>
        <w:t xml:space="preserve">или</w:t>
      </w:r>
      <w:r>
        <w:rPr>
          <w:b/>
          <w:bCs/>
          <w:sz w:val="26"/>
          <w:szCs w:val="26"/>
        </w:rPr>
        <w:t xml:space="preserve"> 42,06 %</w:t>
      </w:r>
      <w:r>
        <w:rPr>
          <w:color w:val="ff0000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от общего объема расходов, из них</w:t>
      </w:r>
      <w:r>
        <w:rPr>
          <w:color w:val="ff0000"/>
          <w:sz w:val="26"/>
          <w:szCs w:val="26"/>
        </w:rPr>
        <w:t xml:space="preserve">:</w:t>
      </w:r>
      <w:r>
        <w:rPr>
          <w:b/>
          <w:color w:val="ff0000"/>
          <w:sz w:val="26"/>
          <w:szCs w:val="26"/>
        </w:rPr>
      </w:r>
    </w:p>
    <w:p>
      <w:pPr>
        <w:numPr>
          <w:ilvl w:val="0"/>
          <w:numId w:val="18"/>
        </w:numPr>
        <w:ind w:left="0" w:firstLine="709"/>
        <w:jc w:val="both"/>
        <w:tabs>
          <w:tab w:val="left" w:pos="1134" w:leader="none"/>
        </w:tabs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61 вид субвенций</w:t>
      </w:r>
      <w:r>
        <w:rPr>
          <w:color w:val="000000" w:themeColor="text1"/>
          <w:sz w:val="26"/>
          <w:szCs w:val="26"/>
        </w:rPr>
        <w:t xml:space="preserve"> на реализацию отдельных государственных полномочий на общую сумму</w:t>
      </w:r>
      <w:r>
        <w:rPr>
          <w:color w:val="ff0000"/>
          <w:sz w:val="26"/>
          <w:szCs w:val="26"/>
        </w:rPr>
        <w:t xml:space="preserve"> </w:t>
      </w:r>
      <w:r>
        <w:rPr>
          <w:b/>
          <w:bCs/>
          <w:color w:val="000000" w:themeColor="text1"/>
          <w:sz w:val="26"/>
          <w:szCs w:val="26"/>
        </w:rPr>
        <w:t xml:space="preserve">5 440 565,40</w:t>
      </w:r>
      <w:r>
        <w:rPr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тыс. рублей</w:t>
      </w:r>
      <w:r>
        <w:rPr>
          <w:color w:val="000000" w:themeColor="text1"/>
          <w:sz w:val="26"/>
          <w:szCs w:val="26"/>
        </w:rPr>
        <w:t xml:space="preserve"> в рамках </w:t>
      </w:r>
      <w:r>
        <w:rPr>
          <w:b/>
          <w:color w:val="000000" w:themeColor="text1"/>
          <w:sz w:val="26"/>
          <w:szCs w:val="26"/>
        </w:rPr>
        <w:t xml:space="preserve">25</w:t>
      </w:r>
      <w:r>
        <w:rPr>
          <w:color w:val="000000" w:themeColor="text1"/>
          <w:sz w:val="26"/>
          <w:szCs w:val="26"/>
        </w:rPr>
        <w:t xml:space="preserve"> краевых и федеральных нормативных правовых актов;</w:t>
      </w:r>
      <w:r>
        <w:rPr>
          <w:b/>
          <w:color w:val="000000" w:themeColor="text1"/>
          <w:sz w:val="26"/>
          <w:szCs w:val="26"/>
        </w:rPr>
      </w:r>
    </w:p>
    <w:p>
      <w:pPr>
        <w:numPr>
          <w:ilvl w:val="0"/>
          <w:numId w:val="18"/>
        </w:numPr>
        <w:ind w:left="0" w:firstLine="709"/>
        <w:jc w:val="both"/>
        <w:spacing w:after="120"/>
        <w:tabs>
          <w:tab w:val="left" w:pos="1134" w:leader="none"/>
        </w:tabs>
        <w:rPr>
          <w:b/>
          <w:bCs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9 видов субсидий из краевого бюджета </w:t>
      </w:r>
      <w:r>
        <w:rPr>
          <w:color w:val="000000" w:themeColor="text1"/>
          <w:sz w:val="26"/>
          <w:szCs w:val="26"/>
        </w:rPr>
        <w:t xml:space="preserve">на осуществление отдельных целевых расходов на условиях </w:t>
      </w:r>
      <w:r>
        <w:rPr>
          <w:color w:val="000000" w:themeColor="text1"/>
          <w:sz w:val="26"/>
          <w:szCs w:val="26"/>
        </w:rPr>
        <w:t xml:space="preserve">софинансирования</w:t>
      </w:r>
      <w:r>
        <w:rPr>
          <w:color w:val="000000" w:themeColor="text1"/>
          <w:sz w:val="26"/>
          <w:szCs w:val="26"/>
        </w:rPr>
        <w:t xml:space="preserve"> на общую сумму</w:t>
      </w:r>
      <w:r>
        <w:rPr>
          <w:b/>
          <w:bCs/>
          <w:color w:val="000000" w:themeColor="text1"/>
          <w:sz w:val="26"/>
          <w:szCs w:val="26"/>
        </w:rPr>
        <w:t xml:space="preserve"> 662 311,8 тыс. рублей.</w:t>
      </w:r>
      <w:r>
        <w:rPr>
          <w:b/>
          <w:bCs/>
          <w:color w:val="000000" w:themeColor="text1"/>
          <w:sz w:val="26"/>
          <w:szCs w:val="26"/>
        </w:rPr>
      </w:r>
    </w:p>
    <w:p>
      <w:pPr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Расходы бюджета </w:t>
      </w:r>
      <w:r>
        <w:rPr>
          <w:b/>
          <w:bCs/>
          <w:sz w:val="26"/>
          <w:szCs w:val="26"/>
        </w:rPr>
        <w:t xml:space="preserve">муниципального округа</w:t>
      </w:r>
      <w:r>
        <w:rPr>
          <w:b/>
          <w:sz w:val="26"/>
          <w:szCs w:val="26"/>
        </w:rPr>
        <w:t xml:space="preserve"> на плановый период 2027-2028 годов</w:t>
      </w:r>
      <w:r>
        <w:rPr>
          <w:sz w:val="26"/>
          <w:szCs w:val="26"/>
        </w:rPr>
        <w:t xml:space="preserve"> в соответствии с основными направлениями бюджетной политики Таймырского Долгано-Ненецкого муниципального округа рассчитаны исходя из показателей по расходам бюджета муниципального округа на 2026 год, которые были скорректированы на р</w:t>
      </w:r>
      <w:r>
        <w:rPr>
          <w:sz w:val="26"/>
          <w:szCs w:val="26"/>
          <w:highlight w:val="white"/>
        </w:rPr>
        <w:t xml:space="preserve">азмер изменения условно утверждаемых расходов, рассчитанных с учетом собственных доходов районного бюджета, и с уч</w:t>
      </w:r>
      <w:r>
        <w:rPr>
          <w:sz w:val="26"/>
          <w:szCs w:val="26"/>
          <w:highlight w:val="white"/>
        </w:rPr>
        <w:t xml:space="preserve">етом условия не превышения                                    5 процентного ограничения дефицита районного бюджета, установленного                        пунктом 3 статьи 92.1. БК РФ, с учетом того, что в отношении муниципального округа, в связи с высокой </w:t>
      </w:r>
      <w:r>
        <w:rPr>
          <w:sz w:val="26"/>
          <w:szCs w:val="26"/>
          <w:highlight w:val="white"/>
        </w:rPr>
        <w:t xml:space="preserve">дотационностью</w:t>
      </w:r>
      <w:r>
        <w:rPr>
          <w:sz w:val="26"/>
          <w:szCs w:val="26"/>
          <w:highlight w:val="white"/>
        </w:rPr>
        <w:t xml:space="preserve"> его бюджета, осуществляются меры, предусмотренные пунктом 4 статьи 136 БК РФ.</w:t>
      </w:r>
      <w:r>
        <w:rPr>
          <w:sz w:val="26"/>
          <w:szCs w:val="26"/>
        </w:rPr>
      </w:r>
    </w:p>
    <w:p>
      <w:pPr>
        <w:jc w:val="both"/>
        <w:spacing w:after="120"/>
        <w:tabs>
          <w:tab w:val="left" w:pos="720" w:leader="none"/>
        </w:tabs>
        <w:rPr>
          <w:rFonts w:ascii="Arial" w:hAnsi="Arial" w:cs="Arial"/>
          <w:b/>
          <w:highlight w:val="white"/>
        </w:rPr>
      </w:pPr>
      <w:r>
        <w:rPr>
          <w:sz w:val="26"/>
          <w:szCs w:val="26"/>
          <w:highlight w:val="white"/>
        </w:rPr>
        <w:tab/>
        <w:t xml:space="preserve">Уровень </w:t>
      </w:r>
      <w:r>
        <w:rPr>
          <w:bCs/>
          <w:sz w:val="26"/>
          <w:szCs w:val="26"/>
          <w:highlight w:val="white"/>
        </w:rPr>
        <w:t xml:space="preserve">заработной платы работников муниципальных учреждений, объем расходов на </w:t>
      </w:r>
      <w:r>
        <w:rPr>
          <w:sz w:val="26"/>
          <w:szCs w:val="26"/>
          <w:highlight w:val="white"/>
        </w:rPr>
        <w:t xml:space="preserve">оплату коммунальных услуг учреждений районного бюджета, </w:t>
      </w:r>
      <w:r>
        <w:rPr>
          <w:bCs/>
          <w:sz w:val="26"/>
          <w:szCs w:val="26"/>
          <w:highlight w:val="white"/>
        </w:rPr>
        <w:t xml:space="preserve">на осуществление прочих расходов и исполнение публичных нормативных обязательств остались на уровне базовых параметров на 2026 год.</w:t>
      </w:r>
      <w:r>
        <w:rPr>
          <w:rFonts w:ascii="Arial" w:hAnsi="Arial" w:cs="Arial"/>
          <w:b/>
          <w:highlight w:val="white"/>
        </w:rPr>
      </w:r>
    </w:p>
    <w:p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На 2027 год в объеме 13 990 618,23</w:t>
      </w:r>
      <w:r>
        <w:rPr>
          <w:b/>
          <w:bCs/>
          <w:sz w:val="26"/>
          <w:szCs w:val="26"/>
          <w:u w:val="single"/>
          <w:lang w:eastAsia="ru-RU"/>
        </w:rPr>
        <w:t xml:space="preserve"> </w:t>
      </w:r>
      <w:r>
        <w:rPr>
          <w:b/>
          <w:sz w:val="26"/>
          <w:szCs w:val="26"/>
          <w:u w:val="single"/>
        </w:rPr>
        <w:t xml:space="preserve">тыс. рублей, в том числе:</w:t>
      </w:r>
      <w:r>
        <w:rPr>
          <w:b/>
          <w:sz w:val="26"/>
          <w:szCs w:val="26"/>
        </w:rPr>
      </w:r>
    </w:p>
    <w:p>
      <w:pPr>
        <w:ind w:firstLine="720"/>
        <w:jc w:val="both"/>
        <w:spacing w:after="12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</w:t>
      </w:r>
      <w:r>
        <w:rPr>
          <w:sz w:val="26"/>
          <w:szCs w:val="26"/>
        </w:rPr>
        <w:t xml:space="preserve"> Расходы, осуществляемые за счет собственных доходов и источников финансирования дефицита бюджета, а также дотаций, предоставляемых из краевого бюджета, составят </w:t>
      </w:r>
      <w:r>
        <w:rPr>
          <w:b/>
          <w:bCs/>
          <w:sz w:val="26"/>
          <w:szCs w:val="26"/>
        </w:rPr>
        <w:t xml:space="preserve">7 991 956,33 тыс. рублей (57,12% </w:t>
      </w:r>
      <w:r>
        <w:rPr>
          <w:sz w:val="26"/>
          <w:szCs w:val="26"/>
        </w:rPr>
        <w:t xml:space="preserve">от общего объема расходов).</w:t>
      </w:r>
      <w:r>
        <w:rPr>
          <w:b/>
          <w:sz w:val="26"/>
          <w:szCs w:val="26"/>
        </w:rPr>
      </w:r>
    </w:p>
    <w:p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</w:t>
      </w:r>
      <w:r>
        <w:rPr>
          <w:sz w:val="26"/>
          <w:szCs w:val="26"/>
        </w:rPr>
        <w:t xml:space="preserve"> Расходы за счет целевых средств (субвенций и субсидий), предоставляемых в 2027 году из бюджета Красноярского края запланированы в сумме </w:t>
      </w:r>
      <w:r>
        <w:rPr>
          <w:b/>
          <w:bCs/>
          <w:sz w:val="26"/>
          <w:szCs w:val="26"/>
        </w:rPr>
        <w:t xml:space="preserve">5 998 661,90</w:t>
      </w:r>
      <w:r>
        <w:rPr>
          <w:b/>
          <w:bCs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тыс. рублей</w:t>
      </w:r>
      <w:r>
        <w:rPr>
          <w:color w:val="000000" w:themeColor="text1"/>
          <w:sz w:val="26"/>
          <w:szCs w:val="26"/>
        </w:rPr>
        <w:t xml:space="preserve"> или</w:t>
      </w:r>
      <w:r>
        <w:rPr>
          <w:color w:val="ff0000"/>
          <w:sz w:val="26"/>
          <w:szCs w:val="26"/>
        </w:rPr>
        <w:t xml:space="preserve"> </w:t>
      </w:r>
      <w:r>
        <w:rPr>
          <w:b/>
          <w:bCs/>
          <w:color w:val="000000" w:themeColor="text1"/>
          <w:sz w:val="26"/>
          <w:szCs w:val="26"/>
        </w:rPr>
        <w:t xml:space="preserve">42,88</w:t>
      </w:r>
      <w:r>
        <w:rPr>
          <w:b/>
          <w:bCs/>
          <w:sz w:val="26"/>
          <w:szCs w:val="26"/>
        </w:rPr>
        <w:t xml:space="preserve"> %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 xml:space="preserve">от общего объема расходов, из них:</w:t>
      </w:r>
      <w:r>
        <w:rPr>
          <w:b/>
          <w:sz w:val="26"/>
          <w:szCs w:val="26"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1134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61 вид субвенций</w:t>
      </w:r>
      <w:r>
        <w:rPr>
          <w:sz w:val="26"/>
          <w:szCs w:val="26"/>
        </w:rPr>
        <w:t xml:space="preserve"> на реализацию отдельных государственных полномочий на общую сумму </w:t>
      </w:r>
      <w:r>
        <w:rPr>
          <w:b/>
          <w:sz w:val="26"/>
          <w:szCs w:val="26"/>
        </w:rPr>
        <w:t xml:space="preserve">5 434 596,20 тыс. рублей</w:t>
      </w:r>
      <w:r>
        <w:rPr>
          <w:sz w:val="26"/>
          <w:szCs w:val="26"/>
        </w:rPr>
        <w:t xml:space="preserve"> в рамках </w:t>
      </w:r>
      <w:r>
        <w:rPr>
          <w:b/>
          <w:sz w:val="26"/>
          <w:szCs w:val="26"/>
        </w:rPr>
        <w:t xml:space="preserve">25</w:t>
      </w:r>
      <w:r>
        <w:rPr>
          <w:sz w:val="26"/>
          <w:szCs w:val="26"/>
        </w:rPr>
        <w:t xml:space="preserve"> краевых и федеральных нормативных правовых актов;</w:t>
      </w:r>
      <w:r>
        <w:rPr>
          <w:b/>
          <w:sz w:val="26"/>
          <w:szCs w:val="26"/>
        </w:rPr>
      </w:r>
    </w:p>
    <w:p>
      <w:pPr>
        <w:numPr>
          <w:ilvl w:val="0"/>
          <w:numId w:val="14"/>
        </w:numPr>
        <w:ind w:left="0" w:firstLine="709"/>
        <w:jc w:val="both"/>
        <w:spacing w:after="120"/>
        <w:tabs>
          <w:tab w:val="left" w:pos="1134" w:leader="none"/>
        </w:tabs>
        <w:rPr>
          <w:b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9</w:t>
      </w:r>
      <w:r>
        <w:rPr>
          <w:b/>
          <w:color w:val="ff0000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видов субсидий из краевого бюджета </w:t>
      </w:r>
      <w:r>
        <w:rPr>
          <w:sz w:val="26"/>
          <w:szCs w:val="26"/>
        </w:rPr>
        <w:t xml:space="preserve">на осуществление отдельных целевых расходов на условиях </w:t>
      </w:r>
      <w:r>
        <w:rPr>
          <w:sz w:val="26"/>
          <w:szCs w:val="26"/>
        </w:rPr>
        <w:t xml:space="preserve">софинансирования</w:t>
      </w:r>
      <w:r>
        <w:rPr>
          <w:sz w:val="26"/>
          <w:szCs w:val="26"/>
        </w:rPr>
        <w:t xml:space="preserve"> на общую сумму </w:t>
      </w:r>
      <w:r>
        <w:rPr>
          <w:b/>
          <w:color w:val="000000" w:themeColor="text1"/>
          <w:sz w:val="26"/>
          <w:szCs w:val="26"/>
          <w:highlight w:val="white"/>
        </w:rPr>
        <w:t xml:space="preserve">564 065,7</w:t>
      </w:r>
      <w:r>
        <w:rPr>
          <w:b/>
          <w:color w:val="000000" w:themeColor="text1"/>
          <w:sz w:val="26"/>
          <w:szCs w:val="26"/>
          <w:highlight w:val="white"/>
        </w:rPr>
        <w:t xml:space="preserve">0</w:t>
      </w:r>
      <w:r>
        <w:rPr>
          <w:b/>
          <w:color w:val="000000" w:themeColor="text1"/>
          <w:sz w:val="26"/>
          <w:szCs w:val="26"/>
          <w:highlight w:val="white"/>
        </w:rPr>
        <w:t xml:space="preserve"> </w:t>
      </w:r>
      <w:r>
        <w:rPr>
          <w:b/>
          <w:sz w:val="26"/>
          <w:szCs w:val="26"/>
        </w:rPr>
        <w:t xml:space="preserve">тыс. рублей</w:t>
      </w:r>
      <w:r>
        <w:rPr>
          <w:sz w:val="26"/>
          <w:szCs w:val="26"/>
        </w:rPr>
        <w:t xml:space="preserve">.</w:t>
      </w:r>
      <w:r>
        <w:rPr>
          <w:b/>
          <w:sz w:val="26"/>
          <w:szCs w:val="26"/>
        </w:rPr>
      </w:r>
    </w:p>
    <w:p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На 2028 год в объеме 14 903 574,75 тыс. рублей, в том числе:</w:t>
      </w:r>
      <w:r>
        <w:rPr>
          <w:b/>
          <w:sz w:val="26"/>
          <w:szCs w:val="26"/>
        </w:rPr>
      </w:r>
    </w:p>
    <w:p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</w:t>
      </w:r>
      <w:r>
        <w:rPr>
          <w:sz w:val="26"/>
          <w:szCs w:val="26"/>
        </w:rPr>
        <w:t xml:space="preserve"> Расходы, осуществляемые за счет собственных доходов и источников финансирования дефицита районного бюджета, а также дотаций, предоставляемых из краевого бюджета, составят </w:t>
      </w:r>
      <w:r>
        <w:rPr>
          <w:b/>
          <w:bCs/>
          <w:sz w:val="26"/>
          <w:szCs w:val="26"/>
        </w:rPr>
        <w:t xml:space="preserve">8 370 990,05 тыс. рублей</w:t>
      </w:r>
      <w:r>
        <w:rPr>
          <w:b/>
          <w:color w:val="ff0000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(56,17%</w:t>
      </w:r>
      <w:r>
        <w:rPr>
          <w:sz w:val="26"/>
          <w:szCs w:val="26"/>
        </w:rPr>
        <w:t xml:space="preserve"> от общего объема расходов).</w:t>
      </w:r>
      <w:r>
        <w:rPr>
          <w:b/>
          <w:sz w:val="26"/>
          <w:szCs w:val="26"/>
        </w:rPr>
      </w:r>
    </w:p>
    <w:p>
      <w:pPr>
        <w:ind w:firstLine="720"/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2.</w:t>
      </w:r>
      <w:r>
        <w:rPr>
          <w:sz w:val="26"/>
          <w:szCs w:val="26"/>
        </w:rPr>
        <w:t xml:space="preserve"> Расходы за счет целевых средств (субвенций и субсидий), предоставляемых в 2028 году из бюджета Красноярского края запланированы в сумме </w:t>
      </w:r>
      <w:r>
        <w:rPr>
          <w:b/>
          <w:bCs/>
          <w:sz w:val="26"/>
          <w:szCs w:val="26"/>
        </w:rPr>
        <w:t xml:space="preserve">6 532 584,70 тыс. рублей </w:t>
      </w:r>
      <w:r>
        <w:rPr>
          <w:sz w:val="26"/>
          <w:szCs w:val="26"/>
        </w:rPr>
        <w:t xml:space="preserve">или</w:t>
      </w:r>
      <w:r>
        <w:rPr>
          <w:b/>
          <w:bCs/>
          <w:sz w:val="26"/>
          <w:szCs w:val="26"/>
        </w:rPr>
        <w:t xml:space="preserve"> 43,83% от общего объема расходов, </w:t>
      </w:r>
      <w:r>
        <w:rPr>
          <w:sz w:val="26"/>
          <w:szCs w:val="26"/>
        </w:rPr>
        <w:t xml:space="preserve">из них: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</w:r>
    </w:p>
    <w:p>
      <w:pPr>
        <w:numPr>
          <w:ilvl w:val="0"/>
          <w:numId w:val="17"/>
        </w:numPr>
        <w:ind w:left="0" w:firstLine="709"/>
        <w:jc w:val="both"/>
        <w:tabs>
          <w:tab w:val="left" w:pos="1134" w:leader="none"/>
        </w:tabs>
        <w:rPr>
          <w:b/>
          <w:sz w:val="26"/>
          <w:szCs w:val="26"/>
        </w:rPr>
      </w:pPr>
      <w:r>
        <w:rPr>
          <w:b/>
          <w:bCs/>
          <w:color w:val="000000" w:themeColor="text1"/>
          <w:sz w:val="26"/>
          <w:szCs w:val="26"/>
        </w:rPr>
        <w:t xml:space="preserve">61</w:t>
      </w:r>
      <w:r>
        <w:rPr>
          <w:b/>
          <w:color w:val="ff0000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вид субвенций</w:t>
      </w:r>
      <w:r>
        <w:rPr>
          <w:sz w:val="26"/>
          <w:szCs w:val="26"/>
        </w:rPr>
        <w:t xml:space="preserve"> на реализацию отдельных государственных полномочий на общую сумму </w:t>
      </w:r>
      <w:r>
        <w:rPr>
          <w:b/>
          <w:bCs/>
          <w:sz w:val="26"/>
          <w:szCs w:val="26"/>
        </w:rPr>
        <w:t xml:space="preserve">5 380 723,70</w:t>
      </w:r>
      <w:r>
        <w:rPr>
          <w:b/>
          <w:sz w:val="26"/>
          <w:szCs w:val="26"/>
        </w:rPr>
        <w:t xml:space="preserve"> тыс. рублей</w:t>
      </w:r>
      <w:r>
        <w:rPr>
          <w:sz w:val="26"/>
          <w:szCs w:val="26"/>
        </w:rPr>
        <w:t xml:space="preserve"> в рамках </w:t>
      </w:r>
      <w:r>
        <w:rPr>
          <w:b/>
          <w:bCs/>
          <w:color w:val="000000" w:themeColor="text1"/>
          <w:sz w:val="26"/>
          <w:szCs w:val="26"/>
        </w:rPr>
        <w:t xml:space="preserve">25</w:t>
      </w:r>
      <w:r>
        <w:rPr>
          <w:sz w:val="26"/>
          <w:szCs w:val="26"/>
        </w:rPr>
        <w:t xml:space="preserve"> краевых и федеральных нормативных правовых актов;</w:t>
      </w:r>
      <w:r>
        <w:rPr>
          <w:b/>
          <w:sz w:val="26"/>
          <w:szCs w:val="26"/>
        </w:rPr>
      </w:r>
    </w:p>
    <w:p>
      <w:pPr>
        <w:numPr>
          <w:ilvl w:val="0"/>
          <w:numId w:val="17"/>
        </w:numPr>
        <w:ind w:left="0" w:firstLine="709"/>
        <w:jc w:val="both"/>
        <w:spacing w:after="120"/>
        <w:tabs>
          <w:tab w:val="left" w:pos="1134" w:leader="none"/>
        </w:tabs>
        <w:rPr>
          <w:b/>
          <w:color w:val="000000" w:themeColor="text1"/>
          <w:sz w:val="26"/>
          <w:szCs w:val="26"/>
          <w:highlight w:val="white"/>
        </w:rPr>
      </w:pPr>
      <w:r>
        <w:rPr>
          <w:b/>
          <w:bCs/>
          <w:color w:val="000000" w:themeColor="text1"/>
          <w:sz w:val="26"/>
          <w:szCs w:val="26"/>
        </w:rPr>
        <w:t xml:space="preserve">10</w:t>
      </w:r>
      <w:r>
        <w:rPr>
          <w:b/>
          <w:color w:val="ff0000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видов субсидий </w:t>
      </w:r>
      <w:r>
        <w:rPr>
          <w:sz w:val="26"/>
          <w:szCs w:val="26"/>
        </w:rPr>
        <w:t xml:space="preserve">на осуществление отдельных целевых расходов на условиях </w:t>
      </w:r>
      <w:r>
        <w:rPr>
          <w:sz w:val="26"/>
          <w:szCs w:val="26"/>
        </w:rPr>
        <w:t xml:space="preserve">софинансирования</w:t>
      </w:r>
      <w:r>
        <w:rPr>
          <w:sz w:val="26"/>
          <w:szCs w:val="26"/>
        </w:rPr>
        <w:t xml:space="preserve"> на общую сумму</w:t>
      </w:r>
      <w:r>
        <w:rPr>
          <w:color w:val="ff0000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  <w:highlight w:val="white"/>
        </w:rPr>
        <w:t xml:space="preserve">1 151 861,00 тыс. рублей</w:t>
      </w:r>
      <w:r>
        <w:rPr>
          <w:color w:val="000000" w:themeColor="text1"/>
          <w:sz w:val="26"/>
          <w:szCs w:val="26"/>
          <w:highlight w:val="white"/>
        </w:rPr>
        <w:t xml:space="preserve">.</w:t>
      </w:r>
      <w:r>
        <w:rPr>
          <w:b/>
          <w:color w:val="000000" w:themeColor="text1"/>
          <w:sz w:val="26"/>
          <w:szCs w:val="26"/>
          <w:highlight w:val="white"/>
        </w:rPr>
      </w:r>
    </w:p>
    <w:p>
      <w:pPr>
        <w:ind w:firstLine="709"/>
        <w:jc w:val="both"/>
        <w:spacing w:after="120"/>
        <w:tabs>
          <w:tab w:val="left" w:pos="1134" w:leader="none"/>
        </w:tabs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Расходы бюджета муниципального округа на 2026 год и на плановый период 2027-2028 годов в разрезе типов средств, выглядят следующим образом:</w:t>
      </w:r>
      <w:r>
        <w:rPr>
          <w:b/>
          <w:bCs/>
          <w:sz w:val="26"/>
          <w:szCs w:val="26"/>
        </w:rPr>
      </w:r>
    </w:p>
    <w:tbl>
      <w:tblPr>
        <w:tblW w:w="10211" w:type="dxa"/>
        <w:tblInd w:w="113" w:type="dxa"/>
        <w:tblLook w:val="04A0" w:firstRow="1" w:lastRow="0" w:firstColumn="1" w:lastColumn="0" w:noHBand="0" w:noVBand="1"/>
      </w:tblPr>
      <w:tblGrid>
        <w:gridCol w:w="516"/>
        <w:gridCol w:w="2314"/>
        <w:gridCol w:w="1418"/>
        <w:gridCol w:w="1059"/>
        <w:gridCol w:w="1492"/>
        <w:gridCol w:w="979"/>
        <w:gridCol w:w="1431"/>
        <w:gridCol w:w="980"/>
        <w:gridCol w:w="22"/>
      </w:tblGrid>
      <w:tr>
        <w:tblPrEx/>
        <w:trPr>
          <w:trHeight w:val="30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16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7"/>
            <w:shd w:val="clear" w:color="000000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38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бюджетных ассигнований по годам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16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№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4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7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38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( тыс.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руб.)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76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п/п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4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 2026 год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% от общей суммы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 2027 год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% от общей суммы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 2028 год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% от общей суммы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14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3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5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4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6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7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8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256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14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Расходы за счет собственных доходов и источников финансирования дефицита районного бюджета, дотаций из краевого бюджета на выравнивание бюджетной обеспеченности и доходов, полученных в виде безвозмездных поступлений от юридических лиц из них: 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8 405 563,94 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57,94 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7 991 956,33 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57,12 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8 370 990,05 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56,17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14" w:type="dxa"/>
            <w:vAlign w:val="center"/>
            <w:textDirection w:val="lrTb"/>
            <w:noWrap w:val="false"/>
          </w:tcPr>
          <w:p>
            <w:pPr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- условно утверждаемые расходы</w:t>
            </w:r>
            <w:r>
              <w:rPr>
                <w:i/>
                <w:i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359 638,03 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Х 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795 244,05 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Х 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76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14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Расходы за счет целевых средств, предоставляемых из краевого бюджета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6 102 877,20 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42,06 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5 998 661,90 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42,88 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6 532 584,70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43,83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102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2.1.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14" w:type="dxa"/>
            <w:vAlign w:val="center"/>
            <w:textDirection w:val="lrTb"/>
            <w:noWrap w:val="false"/>
          </w:tcPr>
          <w:p>
            <w:pPr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Целевые средства </w:t>
            </w:r>
            <w:r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на  реализацию</w:t>
            </w:r>
            <w:r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 передаваемых государственных полномочий (субвенции) </w:t>
            </w:r>
            <w:r>
              <w:rPr>
                <w:i/>
                <w:i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5 440 565,40 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5 434 596,20 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5 380 723,70 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127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2.2.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14" w:type="dxa"/>
            <w:vAlign w:val="center"/>
            <w:textDirection w:val="lrTb"/>
            <w:noWrap w:val="false"/>
          </w:tcPr>
          <w:p>
            <w:pPr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Средства на осуществление отдельных целевых расходов на условиях </w:t>
            </w:r>
            <w:r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софинансирования</w:t>
            </w:r>
            <w:r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 (субсидии)</w:t>
            </w:r>
            <w:r>
              <w:rPr>
                <w:i/>
                <w:i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662 311,80 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564 065,70 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1 151 861,00 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1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ИТОГО: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14 508 441,14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100,00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13 990 618,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23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100,00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14 903 574,75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100,00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ind w:firstLine="539"/>
        <w:jc w:val="both"/>
        <w:spacing w:after="120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</w:p>
    <w:p>
      <w:pPr>
        <w:ind w:firstLine="539"/>
        <w:jc w:val="both"/>
        <w:spacing w:after="120"/>
        <w:rPr>
          <w:b/>
          <w:sz w:val="26"/>
          <w:szCs w:val="26"/>
        </w:rPr>
      </w:pPr>
      <w:r>
        <w:rPr>
          <w:sz w:val="26"/>
          <w:szCs w:val="26"/>
        </w:rPr>
        <w:t xml:space="preserve">Размер условно утверждаемых расходов определен в соответствии с требованиями, установленными п. 3. статьи 184.1. БК РФ </w:t>
      </w:r>
      <w:r>
        <w:rPr>
          <w:bCs/>
          <w:sz w:val="26"/>
          <w:szCs w:val="26"/>
        </w:rPr>
        <w:t xml:space="preserve">в объеме не менее 2,5 процента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на</w:t>
      </w:r>
      <w:r>
        <w:rPr>
          <w:bCs/>
          <w:sz w:val="26"/>
          <w:szCs w:val="26"/>
        </w:rPr>
        <w:t xml:space="preserve"> второй год планового периода в объеме не менее 5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  <w:r>
        <w:rPr>
          <w:b/>
          <w:sz w:val="26"/>
          <w:szCs w:val="26"/>
        </w:rPr>
        <w:t xml:space="preserve">на 2027 год</w:t>
      </w:r>
      <w:r>
        <w:rPr>
          <w:sz w:val="26"/>
          <w:szCs w:val="26"/>
        </w:rPr>
        <w:t xml:space="preserve"> в сумме     </w:t>
      </w:r>
      <w:r>
        <w:rPr>
          <w:b/>
          <w:bCs/>
          <w:sz w:val="26"/>
          <w:szCs w:val="26"/>
        </w:rPr>
        <w:t xml:space="preserve">359 638,03 тыс. рублей (4,5%)</w:t>
      </w:r>
      <w:r>
        <w:rPr>
          <w:sz w:val="26"/>
          <w:szCs w:val="26"/>
        </w:rPr>
        <w:t xml:space="preserve">, </w:t>
      </w:r>
      <w:r>
        <w:rPr>
          <w:b/>
          <w:sz w:val="26"/>
          <w:szCs w:val="26"/>
        </w:rPr>
        <w:t xml:space="preserve">на 2028</w:t>
      </w:r>
      <w:r>
        <w:rPr>
          <w:sz w:val="26"/>
          <w:szCs w:val="26"/>
        </w:rPr>
        <w:t xml:space="preserve"> год в сумме </w:t>
      </w:r>
      <w:r>
        <w:rPr>
          <w:b/>
          <w:bCs/>
          <w:sz w:val="26"/>
          <w:szCs w:val="26"/>
        </w:rPr>
        <w:t xml:space="preserve">795 244,05 тыс. рублей (9,5%). </w:t>
      </w:r>
      <w:r>
        <w:rPr>
          <w:b/>
          <w:sz w:val="26"/>
          <w:szCs w:val="26"/>
        </w:rPr>
      </w:r>
    </w:p>
    <w:p>
      <w:pPr>
        <w:ind w:firstLine="686"/>
        <w:jc w:val="both"/>
        <w:spacing w:after="12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2026-2028 годах ведомственная структура расходов бюджета муниципального округа, предусматривает </w:t>
      </w:r>
      <w:r>
        <w:rPr>
          <w:b/>
          <w:sz w:val="26"/>
          <w:szCs w:val="26"/>
          <w:u w:val="single"/>
        </w:rPr>
        <w:t xml:space="preserve">16 главных распорядителей</w:t>
      </w:r>
      <w:r>
        <w:rPr>
          <w:b/>
          <w:sz w:val="26"/>
          <w:szCs w:val="26"/>
        </w:rPr>
        <w:t xml:space="preserve"> средств бюджета муниципального округа:</w:t>
      </w:r>
      <w:r>
        <w:rPr>
          <w:b/>
          <w:sz w:val="26"/>
          <w:szCs w:val="26"/>
        </w:rPr>
      </w:r>
    </w:p>
    <w:tbl>
      <w:tblPr>
        <w:tblW w:w="10376" w:type="dxa"/>
        <w:tblInd w:w="113" w:type="dxa"/>
        <w:tblLook w:val="04A0" w:firstRow="1" w:lastRow="0" w:firstColumn="1" w:lastColumn="0" w:noHBand="0" w:noVBand="1"/>
      </w:tblPr>
      <w:tblGrid>
        <w:gridCol w:w="2579"/>
        <w:gridCol w:w="743"/>
        <w:gridCol w:w="1493"/>
        <w:gridCol w:w="954"/>
        <w:gridCol w:w="1456"/>
        <w:gridCol w:w="834"/>
        <w:gridCol w:w="1434"/>
        <w:gridCol w:w="834"/>
        <w:gridCol w:w="49"/>
      </w:tblGrid>
      <w:tr>
        <w:tblPrEx/>
        <w:trPr>
          <w:trHeight w:val="63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главного распорядителя средств районного бюджета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Код ГРБС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7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054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бюджетных ассигнований, предусмотренных по главным распорядителям средств районного бюджета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7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54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( тыс.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руб.)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76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 2026 год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% от общей суммы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на 2027 год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% от общей суммы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на 2028 год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% от общей суммы</w:t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3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3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4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6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7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8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102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Администрация Таймырского Долгано-Ненецкого муниципального района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201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3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1 997 691,93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13,77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1 926 072,50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13,77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1 911 523,53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12,83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5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Управление экологии и природных ресурсов Администрации Таймырского Долгано-Ненецкого муниципального района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209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3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53 013, 94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0,36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73 503,27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31 469,94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0,21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5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Управление культуры Администрации Таймырского Долгано-Ненецкого муниципального района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210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3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1 202 422,89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8,29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1 186 903,30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8,48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1 186 726,60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7,96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53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Управление Записи актов гражданского состояния Администрации Таймырского Долгано-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Ненецкого  муниципального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района 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220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3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21 062,05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0,14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20 753,27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0,15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02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Контрольно-Счетная палата Таймырского Долгано-Ненецкого муниципального района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230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3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42 951,72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0,30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42 951,72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0,31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42 951,72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76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Таймырский Долгано-Ненецкий районный Совет депутатов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231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3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57 692,25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0,40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57 692,25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0,41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57 692,25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0,39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27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Управление развития инфраструктуры Таймырского Долгано-Ненецкого муниципального района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233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3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2 010 913,52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13,86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1 823 336,94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13,03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1 823 336,94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12,23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5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Управление муниципального заказа и потребительского рынка Администрации Таймырского Долгано-Ненецкого муниципального района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240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3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1 203 680,74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8,30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1 203 680,74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8,6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1 203 680,74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8,08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02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Управление имущественных отношений Таймырского Долгано-Ненецкого муниципального района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267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3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112 738,61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111 302,52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0,8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343 537,52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2,30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27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Управление образования Администрации Таймырского Долгано-Ненецкого муниципального района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274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3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5 074 967,18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34,98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5 056 698,00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36,14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5 009 233,00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33,61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78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Управление по делам гражданской обороны и чрезвычайным ситуациям Администрации Таймырского Долгано-Ненецкого муниципального района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278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3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253 185,77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253 185,77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1,81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253 185,77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1,70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27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Финансовое управление Администрации Таймырского Долгано-Ненецкого муниципального района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295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3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119 312,81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0,82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478 950,84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3,42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914 556,86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6,14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8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Администрация городского поселения Дудинка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411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3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1 412 928,13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9,74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1 142 247,22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8,17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1 518 668,74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10,19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72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Администрация сельского поселения Хатанга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501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3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542 492,44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3,74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283 138,79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2,02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279 996,63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1,88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72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Администрация сельского поселения Караул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601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3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231 701,14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1,6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212 420,60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1,52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209 256,22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1,40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84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Администрация городского поселения Диксон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701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3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171 686,04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1,18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117 780,50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0,84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117 758,28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ИТОГО: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3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zCs w:val="18"/>
              </w:rPr>
              <w:t xml:space="preserve">14 508 441,14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100,00 </w:t>
            </w:r>
            <w:r>
              <w:rPr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zCs w:val="18"/>
              </w:rPr>
              <w:t xml:space="preserve">13 990 618,23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100,00 </w:t>
            </w:r>
            <w:r>
              <w:rPr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zCs w:val="18"/>
              </w:rPr>
              <w:t xml:space="preserve">14 903 574,75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100,00 </w:t>
            </w:r>
            <w:r>
              <w:rPr>
                <w:b/>
                <w:bCs/>
                <w:color w:val="000000"/>
                <w:sz w:val="18"/>
                <w:szCs w:val="18"/>
              </w:rPr>
            </w:r>
          </w:p>
        </w:tc>
      </w:tr>
    </w:tbl>
    <w:p>
      <w:pPr>
        <w:ind w:firstLine="709"/>
        <w:jc w:val="both"/>
        <w:spacing w:after="120"/>
        <w:rPr>
          <w:rFonts w:cs="Arial"/>
          <w:b/>
          <w:sz w:val="10"/>
          <w:szCs w:val="10"/>
          <w:highlight w:val="yellow"/>
        </w:rPr>
      </w:pPr>
      <w:r>
        <w:rPr>
          <w:rFonts w:cs="Arial"/>
          <w:b/>
          <w:sz w:val="10"/>
          <w:szCs w:val="10"/>
          <w:highlight w:val="yellow"/>
        </w:rPr>
      </w:r>
      <w:r>
        <w:rPr>
          <w:rFonts w:cs="Arial"/>
          <w:b/>
          <w:sz w:val="10"/>
          <w:szCs w:val="10"/>
          <w:highlight w:val="yellow"/>
        </w:rPr>
      </w:r>
    </w:p>
    <w:p>
      <w:pPr>
        <w:ind w:firstLine="709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В связи с необходимостью создания с 1 января 2026 года нового органа Администрации муниципального района «Управление культуры Администрации муниципального района», с обще</w:t>
      </w:r>
      <w:r>
        <w:rPr>
          <w:sz w:val="26"/>
          <w:szCs w:val="26"/>
        </w:rPr>
        <w:t xml:space="preserve">й штатной численностью 16,75 ед., Администрацией муниципального района осуществлены организационно-штатные мероприятия, по результатам которых расходы на содержание нового органа Администрации муниципального района будут обеспечены в полном объёме в сумме: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на 2026 год - 1 202 422,89 тыс. рублей;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на 2027 год - 1 186 903,30 тыс. рублей;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на 2028 год - 1 186 726,60 тыс. рублей,</w:t>
      </w:r>
      <w:r>
        <w:rPr>
          <w:sz w:val="26"/>
          <w:szCs w:val="26"/>
        </w:rPr>
      </w:r>
    </w:p>
    <w:p>
      <w:pPr>
        <w:jc w:val="both"/>
        <w:spacing w:after="120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пу</w:t>
      </w:r>
      <w:r>
        <w:rPr>
          <w:sz w:val="26"/>
          <w:szCs w:val="26"/>
        </w:rPr>
        <w:t xml:space="preserve">тем перераспределения бюджетных средств на содержание Администрации муниципального района и Администраций городских и сельских поселений</w:t>
      </w:r>
      <w:r>
        <w:rPr>
          <w:sz w:val="26"/>
          <w:szCs w:val="26"/>
        </w:rPr>
        <w:t xml:space="preserve">, передачи казенных и бюджетных учреждений городских и сельских поселений</w:t>
      </w:r>
      <w:r>
        <w:rPr>
          <w:sz w:val="26"/>
          <w:szCs w:val="26"/>
        </w:rPr>
        <w:t xml:space="preserve">, а также на выполнение передаваемых государственных полномочий.</w:t>
      </w:r>
      <w:r>
        <w:rPr>
          <w:sz w:val="26"/>
          <w:szCs w:val="26"/>
        </w:rPr>
      </w:r>
    </w:p>
    <w:p>
      <w:pPr>
        <w:ind w:firstLine="709"/>
        <w:jc w:val="both"/>
        <w:spacing w:after="120"/>
        <w:rPr>
          <w:rFonts w:cs="Arial"/>
          <w:b/>
          <w:bCs/>
          <w:sz w:val="26"/>
          <w:szCs w:val="26"/>
        </w:rPr>
      </w:pPr>
      <w:r>
        <w:rPr>
          <w:rFonts w:cs="Arial"/>
          <w:b/>
          <w:sz w:val="26"/>
          <w:szCs w:val="26"/>
        </w:rPr>
        <w:t xml:space="preserve">Расходы бюджета муниципального округа на 2026 год и плановый период 2027-2028 годов в разрезе разделов классификации расходов бюджетов будут иметь следующую структуру:</w:t>
      </w:r>
      <w:r>
        <w:rPr>
          <w:rFonts w:cs="Arial"/>
          <w:b/>
          <w:bCs/>
          <w:sz w:val="26"/>
          <w:szCs w:val="26"/>
        </w:rPr>
      </w:r>
    </w:p>
    <w:tbl>
      <w:tblPr>
        <w:tblW w:w="1028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972"/>
        <w:gridCol w:w="850"/>
        <w:gridCol w:w="1417"/>
        <w:gridCol w:w="850"/>
        <w:gridCol w:w="1276"/>
        <w:gridCol w:w="850"/>
        <w:gridCol w:w="1276"/>
        <w:gridCol w:w="760"/>
        <w:gridCol w:w="34"/>
      </w:tblGrid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Код раздела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7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6463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бюджета муниципального округа на 2026 год и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7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6463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плановый период 2027-2028 годов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7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63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( тыс.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руб.)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76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 2026 год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% от общей суммы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на 2027 год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% от общей суммы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на 2028 год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% от общей суммы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3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4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6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7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8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ОБЩЕГОСУДАРСТВЕННЫЕ ВОПРОСЫ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2 438 271,38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16,81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2 196 081,24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15,70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2 174 972,62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14,60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в т.ч. расходы на завоз ТЭР, из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них :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- для учреждений бюджетной сферы района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269 247,17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1,86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269 247,17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1,92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269 247,17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1,81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- для учреждений бюджетной сферы поселений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98 022,52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0,68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98 022,52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0,70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98 022,52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0,66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НАЦИОНАЛЬНАЯ ОБОРОНА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02.00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15 424,50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0,11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15 710,80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0,11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02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277 766,54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1,92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256 834,72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1,84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256 834,72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1,72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НАЦИОНАЛЬНАЯ ЭКОНОМИКА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04.00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943 186,02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858 496,75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6,14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858 813,68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5,76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ЖИЛИЩНО-КОММУНАЛЬНОЕ ХОЗЯЙСТВО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05.00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2 663 050,50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18,36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2 347 178,26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16,78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2 733 026,26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18,34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ОХРАНА ОКРУЖАЮЩЕЙ СРЕДЫ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06.00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53 088,72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0,37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73 578,06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31 544,72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0,21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ОБРАЗОВАНИЕ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07.00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5 321 138,11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36,68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5 145 307,44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36,78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5 129 247,75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34,41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КУЛЬТУРА, КИНЕМАТОГРАФИЯ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08.00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1 017 358,28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7,01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1 003 060,68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7,17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1 002 883,98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6,73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СОЦИАЛЬНАЯ ПОЛИТИКА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10.00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1 467 511,17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10,12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1 446 015,67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10,34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1 632 379,66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10,95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в т.ч. расходы на завоз ТЭР, из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них :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-для населения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708 886,30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708 886,30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708 886,30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-приобретение керосина осветительного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35 883,90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35 883,90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35 883,90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ФИЗИЧЕСКАЯ КУЛЬТУРА И СПОРТ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11.00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281 293,98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1,94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259 417,32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1,85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259 328,04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1,74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СРЕДСТВА МАССОВОЙ ИНФОРМАЦИИ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12.00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30 260,43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29 207,75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29 207,75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76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ОБСЛУЖИВАНИЕ ГОСУДАРСТВЕННОГО И МУНИЦИПАЛЬНОГО ДОЛГА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13.00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91,51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0,00 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91,51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91,51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УСЛОВНО УТВЕРЖДАЕМЫЕ РАСХОДЫ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Х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359 638,03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2,57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795 244,05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5,34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ИТОГО: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14 508 441,14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100,00 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13 990 618,23 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100,00 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14 903 574,75 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100,00 </w:t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</w:tbl>
    <w:p>
      <w:pPr>
        <w:ind w:firstLine="720"/>
        <w:jc w:val="both"/>
        <w:spacing w:after="1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</w:r>
      <w:r>
        <w:rPr>
          <w:rFonts w:cs="Arial"/>
          <w:sz w:val="26"/>
          <w:szCs w:val="26"/>
        </w:rPr>
      </w:r>
    </w:p>
    <w:p>
      <w:pPr>
        <w:ind w:firstLine="720"/>
        <w:jc w:val="both"/>
        <w:spacing w:after="1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В соответствии с требованиями статьи 184.2. БК РФ, учитывая, что проект решения не содержит приложение с распределение</w:t>
      </w:r>
      <w:r>
        <w:rPr>
          <w:rFonts w:cs="Arial"/>
          <w:sz w:val="26"/>
          <w:szCs w:val="26"/>
        </w:rPr>
        <w:t xml:space="preserve">м бюджетных ассигнований по разделам и подразделам классификации расходов бюджетов, приложение с распределением бюджетных ассигнований по разделам и подразделам классификации расходов бюджетов включено в состав приложений к настоящей пояснительной записке </w:t>
      </w:r>
      <w:r>
        <w:rPr>
          <w:rFonts w:cs="Arial"/>
          <w:b/>
          <w:sz w:val="26"/>
          <w:szCs w:val="26"/>
        </w:rPr>
        <w:t xml:space="preserve">(приложение №7)</w:t>
      </w:r>
      <w:r>
        <w:rPr>
          <w:rFonts w:cs="Arial"/>
          <w:sz w:val="26"/>
          <w:szCs w:val="26"/>
        </w:rPr>
        <w:t xml:space="preserve">.</w:t>
      </w:r>
      <w:r>
        <w:rPr>
          <w:rFonts w:cs="Arial"/>
          <w:sz w:val="26"/>
          <w:szCs w:val="26"/>
        </w:rPr>
      </w:r>
    </w:p>
    <w:p>
      <w:pPr>
        <w:ind w:firstLine="686"/>
        <w:jc w:val="both"/>
        <w:rPr>
          <w:rFonts w:cs="Arial"/>
          <w:b/>
          <w:sz w:val="26"/>
          <w:szCs w:val="26"/>
        </w:rPr>
      </w:pPr>
      <w:r>
        <w:rPr>
          <w:rFonts w:cs="Arial"/>
          <w:sz w:val="26"/>
          <w:szCs w:val="26"/>
        </w:rPr>
        <w:t xml:space="preserve">Расходная часть бюд</w:t>
      </w:r>
      <w:r>
        <w:rPr>
          <w:rFonts w:cs="Arial"/>
          <w:sz w:val="26"/>
          <w:szCs w:val="26"/>
        </w:rPr>
        <w:t xml:space="preserve">жета муниципального округа сформирована с учетом приоритетности расходов, имеющих социальную направленность. Бюджетные ассигнования на осуществление расходов в области образования, культуры, социальной политики, физической культуры и спорта, запланированы:</w:t>
      </w:r>
      <w:r>
        <w:rPr>
          <w:rFonts w:cs="Arial"/>
          <w:b/>
          <w:sz w:val="26"/>
          <w:szCs w:val="26"/>
        </w:rPr>
      </w:r>
    </w:p>
    <w:p>
      <w:pPr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b/>
          <w:sz w:val="26"/>
          <w:szCs w:val="26"/>
        </w:rPr>
        <w:t xml:space="preserve">- на 2026 год</w:t>
      </w:r>
      <w:r>
        <w:rPr>
          <w:sz w:val="26"/>
          <w:szCs w:val="26"/>
        </w:rPr>
        <w:t xml:space="preserve"> в сумме</w:t>
      </w:r>
      <w:r>
        <w:rPr>
          <w:b/>
          <w:bCs/>
          <w:sz w:val="26"/>
          <w:szCs w:val="26"/>
        </w:rPr>
        <w:t xml:space="preserve"> 8 087 301,54</w:t>
      </w:r>
      <w:r>
        <w:rPr>
          <w:b/>
          <w:bCs/>
          <w:sz w:val="26"/>
          <w:szCs w:val="26"/>
          <w:lang w:eastAsia="ru-RU"/>
        </w:rPr>
        <w:t xml:space="preserve"> </w:t>
      </w:r>
      <w:r>
        <w:rPr>
          <w:b/>
          <w:bCs/>
          <w:sz w:val="26"/>
          <w:szCs w:val="26"/>
        </w:rPr>
        <w:t xml:space="preserve">тыс. рублей или</w:t>
      </w:r>
      <w:r>
        <w:rPr>
          <w:color w:val="ff0000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55,74 </w:t>
      </w:r>
      <w:r>
        <w:rPr>
          <w:b/>
          <w:sz w:val="26"/>
          <w:szCs w:val="26"/>
        </w:rPr>
        <w:t xml:space="preserve">%</w:t>
      </w:r>
      <w:r>
        <w:rPr>
          <w:sz w:val="26"/>
          <w:szCs w:val="26"/>
        </w:rPr>
        <w:t xml:space="preserve"> от общего объема расходов бюджета муниципального округа на 2026 год;</w:t>
      </w:r>
      <w:r>
        <w:rPr>
          <w:color w:val="000000"/>
          <w:sz w:val="26"/>
          <w:szCs w:val="26"/>
          <w:lang w:eastAsia="ru-RU"/>
        </w:rPr>
      </w:r>
    </w:p>
    <w:p>
      <w:pPr>
        <w:ind w:firstLine="686"/>
        <w:jc w:val="both"/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t xml:space="preserve">- на 2027 год</w:t>
      </w:r>
      <w:r>
        <w:rPr>
          <w:rFonts w:cs="Arial"/>
          <w:sz w:val="26"/>
          <w:szCs w:val="26"/>
        </w:rPr>
        <w:t xml:space="preserve"> в сумме </w:t>
      </w:r>
      <w:r>
        <w:rPr>
          <w:rFonts w:cs="Arial"/>
          <w:b/>
          <w:bCs/>
          <w:sz w:val="26"/>
          <w:szCs w:val="26"/>
        </w:rPr>
        <w:t xml:space="preserve">7 853 801,10 тыс. рублей или</w:t>
      </w:r>
      <w:r>
        <w:rPr>
          <w:rFonts w:cs="Arial"/>
          <w:color w:val="ff0000"/>
          <w:sz w:val="26"/>
          <w:szCs w:val="26"/>
        </w:rPr>
        <w:t xml:space="preserve"> </w:t>
      </w:r>
      <w:r>
        <w:rPr>
          <w:rFonts w:cs="Arial"/>
          <w:b/>
          <w:sz w:val="26"/>
          <w:szCs w:val="26"/>
        </w:rPr>
        <w:t xml:space="preserve">56,14 %</w:t>
      </w:r>
      <w:r>
        <w:rPr>
          <w:rFonts w:cs="Arial"/>
          <w:sz w:val="26"/>
          <w:szCs w:val="26"/>
        </w:rPr>
        <w:t xml:space="preserve"> от общего объема расходов бюджета муниципального округа на 2027 год;</w:t>
      </w:r>
      <w:r>
        <w:rPr>
          <w:rFonts w:cs="Arial"/>
          <w:b/>
          <w:sz w:val="26"/>
          <w:szCs w:val="26"/>
        </w:rPr>
      </w:r>
    </w:p>
    <w:p>
      <w:pPr>
        <w:ind w:firstLine="684"/>
        <w:jc w:val="both"/>
        <w:spacing w:after="120"/>
        <w:rPr>
          <w:sz w:val="26"/>
          <w:szCs w:val="26"/>
        </w:rPr>
      </w:pPr>
      <w:r>
        <w:rPr>
          <w:rFonts w:cs="Arial"/>
          <w:b/>
          <w:sz w:val="26"/>
          <w:szCs w:val="26"/>
        </w:rPr>
        <w:t xml:space="preserve">-</w:t>
      </w:r>
      <w:r>
        <w:rPr>
          <w:rFonts w:cs="Arial"/>
          <w:sz w:val="26"/>
          <w:szCs w:val="26"/>
        </w:rPr>
        <w:t xml:space="preserve"> </w:t>
      </w:r>
      <w:r>
        <w:rPr>
          <w:rFonts w:cs="Arial"/>
          <w:b/>
          <w:sz w:val="26"/>
          <w:szCs w:val="26"/>
        </w:rPr>
        <w:t xml:space="preserve">на 2028 год</w:t>
      </w:r>
      <w:r>
        <w:rPr>
          <w:rFonts w:cs="Arial"/>
          <w:sz w:val="26"/>
          <w:szCs w:val="26"/>
        </w:rPr>
        <w:t xml:space="preserve"> в сумме </w:t>
      </w:r>
      <w:r>
        <w:rPr>
          <w:rFonts w:cs="Arial"/>
          <w:b/>
          <w:bCs/>
          <w:sz w:val="26"/>
          <w:szCs w:val="26"/>
        </w:rPr>
        <w:t xml:space="preserve">8 023 839,42 </w:t>
      </w:r>
      <w:r>
        <w:rPr>
          <w:rFonts w:cs="Arial"/>
          <w:b/>
          <w:sz w:val="26"/>
          <w:szCs w:val="26"/>
        </w:rPr>
        <w:t xml:space="preserve">тыс. рублей</w:t>
      </w:r>
      <w:r>
        <w:rPr>
          <w:rFonts w:cs="Arial"/>
          <w:sz w:val="26"/>
          <w:szCs w:val="26"/>
        </w:rPr>
        <w:t xml:space="preserve"> или </w:t>
      </w:r>
      <w:r>
        <w:rPr>
          <w:rFonts w:cs="Arial"/>
          <w:b/>
          <w:bCs/>
          <w:sz w:val="26"/>
          <w:szCs w:val="26"/>
        </w:rPr>
        <w:t xml:space="preserve">53,84 </w:t>
      </w:r>
      <w:r>
        <w:rPr>
          <w:rFonts w:cs="Arial"/>
          <w:b/>
          <w:sz w:val="26"/>
          <w:szCs w:val="26"/>
        </w:rPr>
        <w:t xml:space="preserve">%</w:t>
      </w:r>
      <w:r>
        <w:rPr>
          <w:rFonts w:cs="Arial"/>
          <w:sz w:val="26"/>
          <w:szCs w:val="26"/>
        </w:rPr>
        <w:t xml:space="preserve"> от общего объема расходов бюджета муниципального округа на 2028 год.</w:t>
      </w:r>
      <w:r>
        <w:rPr>
          <w:sz w:val="26"/>
          <w:szCs w:val="26"/>
        </w:rPr>
      </w:r>
    </w:p>
    <w:p>
      <w:pPr>
        <w:ind w:firstLine="68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Объем бюджетных ассигнований, направляемых на предоставление субсидий юридическим лицам и индивидуальным предпринимателям, в расходной части бюджета муниципального округа предусмотрен:</w:t>
      </w:r>
      <w:r>
        <w:rPr>
          <w:sz w:val="26"/>
          <w:szCs w:val="26"/>
        </w:rPr>
      </w:r>
    </w:p>
    <w:p>
      <w:pPr>
        <w:ind w:firstLine="686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на 2026 год</w:t>
      </w:r>
      <w:r>
        <w:rPr>
          <w:sz w:val="26"/>
          <w:szCs w:val="26"/>
        </w:rPr>
        <w:t xml:space="preserve"> в сумме </w:t>
      </w:r>
      <w:r>
        <w:rPr>
          <w:b/>
          <w:bCs/>
          <w:sz w:val="26"/>
          <w:szCs w:val="26"/>
        </w:rPr>
        <w:t xml:space="preserve">2 849 575,25 </w:t>
      </w:r>
      <w:r>
        <w:rPr>
          <w:b/>
          <w:bCs/>
          <w:sz w:val="26"/>
          <w:szCs w:val="26"/>
        </w:rPr>
        <w:t xml:space="preserve">тыс.руб</w:t>
      </w:r>
      <w:r>
        <w:rPr>
          <w:b/>
          <w:sz w:val="26"/>
          <w:szCs w:val="26"/>
        </w:rPr>
        <w:t xml:space="preserve">лей</w:t>
      </w:r>
      <w:r>
        <w:rPr>
          <w:b/>
          <w:sz w:val="26"/>
          <w:szCs w:val="26"/>
        </w:rPr>
        <w:t xml:space="preserve">;</w:t>
      </w:r>
      <w:r>
        <w:rPr>
          <w:b/>
          <w:bCs/>
          <w:sz w:val="26"/>
          <w:szCs w:val="26"/>
        </w:rPr>
      </w:r>
    </w:p>
    <w:p>
      <w:pPr>
        <w:ind w:firstLine="686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на 2027 год </w:t>
      </w:r>
      <w:r>
        <w:rPr>
          <w:sz w:val="26"/>
          <w:szCs w:val="26"/>
        </w:rPr>
        <w:t xml:space="preserve">в сумме </w:t>
      </w:r>
      <w:r>
        <w:rPr>
          <w:b/>
          <w:bCs/>
          <w:sz w:val="26"/>
          <w:szCs w:val="26"/>
        </w:rPr>
        <w:t xml:space="preserve">2 723 943,69 тыс. рублей;</w:t>
      </w:r>
      <w:r>
        <w:rPr>
          <w:b/>
          <w:bCs/>
          <w:sz w:val="26"/>
          <w:szCs w:val="26"/>
        </w:rPr>
      </w:r>
    </w:p>
    <w:p>
      <w:pPr>
        <w:ind w:firstLine="686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на </w:t>
      </w:r>
      <w:r>
        <w:rPr>
          <w:b/>
          <w:sz w:val="26"/>
          <w:szCs w:val="26"/>
        </w:rPr>
        <w:t xml:space="preserve">2028 год</w:t>
      </w:r>
      <w:r>
        <w:rPr>
          <w:sz w:val="26"/>
          <w:szCs w:val="26"/>
        </w:rPr>
        <w:t xml:space="preserve"> в сумме </w:t>
      </w:r>
      <w:r>
        <w:rPr>
          <w:b/>
          <w:bCs/>
          <w:sz w:val="26"/>
          <w:szCs w:val="26"/>
        </w:rPr>
        <w:t xml:space="preserve">3 109 791,69 тыс. рублей</w:t>
      </w:r>
      <w:r>
        <w:rPr>
          <w:sz w:val="26"/>
          <w:szCs w:val="26"/>
        </w:rPr>
        <w:t xml:space="preserve">,  </w:t>
      </w:r>
      <w:r>
        <w:rPr>
          <w:sz w:val="26"/>
          <w:szCs w:val="26"/>
        </w:rPr>
      </w:r>
    </w:p>
    <w:p>
      <w:pPr>
        <w:ind w:firstLine="686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в том числе: </w:t>
      </w:r>
      <w:r>
        <w:rPr>
          <w:b/>
          <w:bCs/>
          <w:sz w:val="26"/>
          <w:szCs w:val="26"/>
        </w:rPr>
      </w:r>
    </w:p>
    <w:p>
      <w:pPr>
        <w:numPr>
          <w:ilvl w:val="0"/>
          <w:numId w:val="16"/>
        </w:numPr>
        <w:ind w:left="0" w:firstLine="720"/>
        <w:jc w:val="both"/>
        <w:tabs>
          <w:tab w:val="left" w:pos="432" w:leader="none"/>
          <w:tab w:val="left" w:pos="10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за счет собственных средств бюджета муниципального округа предусмотрено предоставление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субсидий юридическим лицам и индивидуальным предпринимателям:</w:t>
      </w:r>
      <w:r>
        <w:rPr>
          <w:sz w:val="26"/>
          <w:szCs w:val="26"/>
        </w:rPr>
      </w:r>
    </w:p>
    <w:p>
      <w:pPr>
        <w:ind w:left="720"/>
        <w:jc w:val="both"/>
        <w:tabs>
          <w:tab w:val="left" w:pos="432" w:leader="none"/>
          <w:tab w:val="left" w:pos="10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</w:t>
      </w:r>
      <w:r>
        <w:rPr>
          <w:b/>
          <w:bCs/>
          <w:sz w:val="26"/>
          <w:szCs w:val="26"/>
        </w:rPr>
        <w:t xml:space="preserve"> 2026 году</w:t>
      </w:r>
      <w:r>
        <w:rPr>
          <w:bCs/>
          <w:sz w:val="26"/>
          <w:szCs w:val="26"/>
        </w:rPr>
        <w:t xml:space="preserve"> в сумме </w:t>
      </w:r>
      <w:r>
        <w:rPr>
          <w:b/>
          <w:sz w:val="26"/>
          <w:szCs w:val="26"/>
        </w:rPr>
        <w:t xml:space="preserve">546 721,15</w:t>
      </w:r>
      <w:r>
        <w:rPr>
          <w:b/>
          <w:bCs/>
          <w:sz w:val="26"/>
          <w:szCs w:val="26"/>
        </w:rPr>
        <w:t xml:space="preserve"> тыс. рублей</w:t>
      </w:r>
      <w:r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</w:r>
    </w:p>
    <w:p>
      <w:pPr>
        <w:ind w:left="720"/>
        <w:jc w:val="both"/>
        <w:tabs>
          <w:tab w:val="left" w:pos="432" w:leader="none"/>
          <w:tab w:val="left" w:pos="1080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в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2027 году</w:t>
      </w:r>
      <w:r>
        <w:rPr>
          <w:bCs/>
          <w:sz w:val="26"/>
          <w:szCs w:val="26"/>
        </w:rPr>
        <w:t xml:space="preserve"> в сумме</w:t>
      </w:r>
      <w:r>
        <w:rPr>
          <w:b/>
          <w:bCs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517 551,59</w:t>
      </w:r>
      <w:r>
        <w:rPr>
          <w:b/>
          <w:bCs/>
          <w:sz w:val="26"/>
          <w:szCs w:val="26"/>
        </w:rPr>
        <w:t xml:space="preserve"> тыс. рублей,</w:t>
      </w:r>
      <w:r>
        <w:rPr>
          <w:b/>
          <w:bCs/>
          <w:sz w:val="26"/>
          <w:szCs w:val="26"/>
        </w:rPr>
      </w:r>
    </w:p>
    <w:p>
      <w:pPr>
        <w:ind w:left="720"/>
        <w:jc w:val="both"/>
        <w:tabs>
          <w:tab w:val="left" w:pos="432" w:leader="none"/>
          <w:tab w:val="left" w:pos="1080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в 2028 году </w:t>
      </w:r>
      <w:r>
        <w:rPr>
          <w:sz w:val="26"/>
          <w:szCs w:val="26"/>
        </w:rPr>
        <w:t xml:space="preserve">в сумме </w:t>
      </w:r>
      <w:r>
        <w:rPr>
          <w:b/>
          <w:bCs/>
          <w:color w:val="000000"/>
          <w:sz w:val="26"/>
          <w:szCs w:val="26"/>
        </w:rPr>
        <w:t xml:space="preserve">517 551,59 тыс. рублей.</w:t>
      </w:r>
      <w:r>
        <w:rPr>
          <w:b/>
          <w:bCs/>
          <w:sz w:val="26"/>
          <w:szCs w:val="26"/>
        </w:rPr>
      </w:r>
    </w:p>
    <w:p>
      <w:pPr>
        <w:numPr>
          <w:ilvl w:val="0"/>
          <w:numId w:val="16"/>
        </w:numPr>
        <w:ind w:left="0" w:firstLine="720"/>
        <w:jc w:val="both"/>
        <w:spacing w:after="120"/>
        <w:tabs>
          <w:tab w:val="left" w:pos="432" w:leader="none"/>
          <w:tab w:val="left" w:pos="1080" w:leader="none"/>
        </w:tabs>
        <w:rPr>
          <w:sz w:val="26"/>
          <w:szCs w:val="26"/>
        </w:rPr>
      </w:pPr>
      <w:r>
        <w:rPr>
          <w:bCs/>
          <w:sz w:val="26"/>
          <w:szCs w:val="26"/>
        </w:rPr>
        <w:t xml:space="preserve">за счет целевых средств, предоставляемых из краевого бюджета, предусмотрено</w:t>
      </w:r>
      <w:r>
        <w:rPr>
          <w:sz w:val="26"/>
          <w:szCs w:val="26"/>
        </w:rPr>
        <w:t xml:space="preserve"> предоставление субсидий юридическим лицам и индивидуальным предпринимателям:</w:t>
      </w:r>
      <w:r>
        <w:rPr>
          <w:sz w:val="26"/>
          <w:szCs w:val="26"/>
        </w:rPr>
      </w:r>
    </w:p>
    <w:p>
      <w:pPr>
        <w:ind w:left="720"/>
        <w:jc w:val="both"/>
        <w:tabs>
          <w:tab w:val="left" w:pos="432" w:leader="none"/>
          <w:tab w:val="left" w:pos="10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</w:t>
      </w:r>
      <w:r>
        <w:rPr>
          <w:b/>
          <w:bCs/>
          <w:sz w:val="26"/>
          <w:szCs w:val="26"/>
        </w:rPr>
        <w:t xml:space="preserve"> 2026 году</w:t>
      </w:r>
      <w:r>
        <w:rPr>
          <w:bCs/>
          <w:sz w:val="26"/>
          <w:szCs w:val="26"/>
        </w:rPr>
        <w:t xml:space="preserve"> в </w:t>
      </w:r>
      <w:r>
        <w:rPr>
          <w:bCs/>
          <w:sz w:val="26"/>
          <w:szCs w:val="26"/>
        </w:rPr>
        <w:t xml:space="preserve">сумме </w:t>
      </w:r>
      <w:r>
        <w:rPr>
          <w:b/>
          <w:bCs/>
          <w:sz w:val="26"/>
          <w:szCs w:val="26"/>
        </w:rPr>
        <w:t xml:space="preserve"> 2</w:t>
      </w:r>
      <w:r>
        <w:rPr>
          <w:b/>
          <w:bCs/>
          <w:sz w:val="26"/>
          <w:szCs w:val="26"/>
        </w:rPr>
        <w:t xml:space="preserve"> 302 854,10</w:t>
      </w:r>
      <w:r>
        <w:rPr>
          <w:b/>
          <w:color w:val="000000"/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  <w:t xml:space="preserve">тыс. рублей</w:t>
      </w:r>
      <w:r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</w:r>
    </w:p>
    <w:p>
      <w:pPr>
        <w:ind w:left="720"/>
        <w:jc w:val="both"/>
        <w:tabs>
          <w:tab w:val="left" w:pos="432" w:leader="none"/>
          <w:tab w:val="left" w:pos="1080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в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2027 году</w:t>
      </w:r>
      <w:r>
        <w:rPr>
          <w:bCs/>
          <w:sz w:val="26"/>
          <w:szCs w:val="26"/>
        </w:rPr>
        <w:t xml:space="preserve"> в </w:t>
      </w:r>
      <w:r>
        <w:rPr>
          <w:bCs/>
          <w:sz w:val="26"/>
          <w:szCs w:val="26"/>
        </w:rPr>
        <w:t xml:space="preserve">сумме</w:t>
      </w:r>
      <w:r>
        <w:rPr>
          <w:b/>
          <w:bCs/>
          <w:sz w:val="26"/>
          <w:szCs w:val="26"/>
        </w:rPr>
        <w:t xml:space="preserve">  2</w:t>
      </w:r>
      <w:r>
        <w:rPr>
          <w:b/>
          <w:bCs/>
          <w:sz w:val="26"/>
          <w:szCs w:val="26"/>
        </w:rPr>
        <w:t xml:space="preserve"> 206 392,10</w:t>
      </w:r>
      <w:r>
        <w:rPr>
          <w:b/>
          <w:color w:val="000000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тыс. рублей,</w:t>
      </w:r>
      <w:r>
        <w:rPr>
          <w:b/>
          <w:bCs/>
          <w:sz w:val="26"/>
          <w:szCs w:val="26"/>
        </w:rPr>
      </w:r>
    </w:p>
    <w:p>
      <w:pPr>
        <w:ind w:left="720"/>
        <w:jc w:val="both"/>
        <w:spacing w:after="120"/>
        <w:tabs>
          <w:tab w:val="left" w:pos="432" w:leader="none"/>
          <w:tab w:val="left" w:pos="1080" w:leader="none"/>
        </w:tabs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в 2028 году </w:t>
      </w:r>
      <w:r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сумме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 xml:space="preserve"> 2</w:t>
      </w:r>
      <w:r>
        <w:rPr>
          <w:b/>
          <w:bCs/>
          <w:color w:val="000000"/>
          <w:sz w:val="26"/>
          <w:szCs w:val="26"/>
        </w:rPr>
        <w:t xml:space="preserve"> 592 240,10тыс. рублей.</w:t>
      </w:r>
      <w:r>
        <w:rPr>
          <w:sz w:val="26"/>
          <w:szCs w:val="26"/>
        </w:rPr>
      </w:r>
    </w:p>
    <w:p>
      <w:pPr>
        <w:ind w:left="720"/>
        <w:jc w:val="both"/>
        <w:tabs>
          <w:tab w:val="left" w:pos="432" w:leader="none"/>
          <w:tab w:val="left" w:pos="1080" w:leader="none"/>
        </w:tabs>
        <w:rPr>
          <w:b/>
          <w:bCs/>
          <w:sz w:val="10"/>
          <w:szCs w:val="10"/>
          <w:highlight w:val="yellow"/>
        </w:rPr>
      </w:pPr>
      <w:r>
        <w:rPr>
          <w:b/>
          <w:bCs/>
          <w:sz w:val="10"/>
          <w:szCs w:val="10"/>
          <w:highlight w:val="yellow"/>
        </w:rPr>
      </w:r>
      <w:r>
        <w:rPr>
          <w:b/>
          <w:bCs/>
          <w:sz w:val="10"/>
          <w:szCs w:val="10"/>
          <w:highlight w:val="yellow"/>
        </w:rPr>
      </w:r>
    </w:p>
    <w:tbl>
      <w:tblPr>
        <w:tblW w:w="10280" w:type="dxa"/>
        <w:tblInd w:w="113" w:type="dxa"/>
        <w:tblLook w:val="04A0" w:firstRow="1" w:lastRow="0" w:firstColumn="1" w:lastColumn="0" w:noHBand="0" w:noVBand="1"/>
      </w:tblPr>
      <w:tblGrid>
        <w:gridCol w:w="578"/>
        <w:gridCol w:w="4121"/>
        <w:gridCol w:w="1422"/>
        <w:gridCol w:w="1331"/>
        <w:gridCol w:w="1350"/>
        <w:gridCol w:w="1478"/>
      </w:tblGrid>
      <w:tr>
        <w:tblPrEx/>
        <w:trPr>
          <w:trHeight w:val="10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№ п/п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ЦСР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5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предоставление субсидий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юр.лицам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и индивидуальным предпринимателям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( тыс. руб.)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 2026 год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 2027 год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 2028 год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3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4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6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1.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Средства бюджета муниципального округа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30.0.00.03170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546 721,15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517 551,59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517 551,59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6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1.1.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субсидий субъектам малого и среднего предпринимательства на реализацию инвестиционных проектов в приоритетных отраслях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28" w:type="dxa"/>
            <w:vAlign w:val="center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07.0.00.03120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632,40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632,40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632,40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53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1.2.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субсидий юридическим лицам, индивидуальным предпринимателям на возмещение части затрат, связанных с осуществлением регулярных пассажирских перевозок воздушным транспортом на территории Таймырского Долгано- Ненецкого муниципального округа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28" w:type="dxa"/>
            <w:vAlign w:val="center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10.1.00.03010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256 999,48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256 999,48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256 999,48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78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1.3.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субсидий юридическим лицам, индивидуальным предпринимателям на возмещение части затрат, связанных с осуществлением регулярных пассажирских перевозок водным транспортом на территории Таймырского Долгано-Ненецкого муниципального округа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28" w:type="dxa"/>
            <w:vAlign w:val="center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10.1.00.03020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81 826,61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81 826,61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81 826,61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78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1.4.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субсидий юридическим лицам, индивидуальным предпринимателям на возмещение части затрат, связанных с осуществлением регулярных пассажирских перевозок автомобильным транспортом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28" w:type="dxa"/>
            <w:vAlign w:val="center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10.1.00.03030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16 793,09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16 793,09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16 793,09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6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1.5.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</w:t>
            </w:r>
            <w:r>
              <w:rPr>
                <w:color w:val="000000"/>
                <w:sz w:val="20"/>
                <w:szCs w:val="20"/>
              </w:rPr>
              <w:t xml:space="preserve">оставление субсидии муниципальному пассажирскому автотранспортному предприятию города Дудинка на финансовое обеспечение части затрат, выполняющему пассажирские перевозки по городским маршрутам в соответствии с утвержденной программой пассажирских перевозок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28" w:type="dxa"/>
            <w:vAlign w:val="center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10.1.00.03031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57 940,00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57 940,00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57 940,00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1.6.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</w:t>
            </w:r>
            <w:r>
              <w:rPr>
                <w:color w:val="000000"/>
                <w:sz w:val="20"/>
                <w:szCs w:val="20"/>
              </w:rPr>
              <w:t xml:space="preserve">ие субсидий определенным по результатам  отбора юридическим лицам (за исключением государственных (муниципальных) учреждений) и индивидуальным предпринимателям, осуществляющим розничную торговлю продовольственными товарами  в населенных пунктах входящих в </w:t>
            </w:r>
            <w:r>
              <w:rPr>
                <w:color w:val="000000"/>
                <w:sz w:val="20"/>
                <w:szCs w:val="20"/>
              </w:rPr>
              <w:t xml:space="preserve">состаав</w:t>
            </w:r>
            <w:r>
              <w:rPr>
                <w:color w:val="000000"/>
                <w:sz w:val="20"/>
                <w:szCs w:val="20"/>
              </w:rPr>
              <w:t xml:space="preserve"> Таймырского Долгано-Ненецкого муниципального округа, на возмещение части затрат, связанных с обеспечением населения  продуктами питания и товарами первой необходимости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30.0.00.03062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56 885,33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56 885,33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56 885,33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6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1.7.</w:t>
            </w: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субсидий на возмещение части недополученных доходов, возникающих в связи с предоставлением банных услуг населению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28" w:type="dxa"/>
            <w:vAlign w:val="center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30.0.00.03080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26 868,69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23 391,65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23 391,65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007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1.8.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субсидии на возмещение части затрат, связанных с производством хлеба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28" w:type="dxa"/>
            <w:vAlign w:val="center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30.0.00.03090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33 576,88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19 094,03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19 094,03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148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1.9.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субсидий на возмещение части затрат на содержание сети уличного освещения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28" w:type="dxa"/>
            <w:vAlign w:val="center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30.0.00.03150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6 441,43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2 574,40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2 574,40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549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субсидий юридическим лицам, индивидуальным предпринимателям на возмещение транспортных затрат по доставке бензина для реализации населению и сельскохозяйственным предприятиям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28" w:type="dxa"/>
            <w:vAlign w:val="center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30.0.00.03160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4 748,40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914,60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914,60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07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субсидий юридическим лицам, индивидуальным предпринимателям на возмещение части затрат на электроэнергию в торговых объектах муниципальной собственности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28" w:type="dxa"/>
            <w:vAlign w:val="center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30.0.00.03170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3 508,84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предоставление субсидии на реализацию мероприятий по развитию инфраструктуры в соответствии с долгосрочным планом комплексного социально-экономического развития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30.0.</w:t>
            </w:r>
            <w:r>
              <w:rPr>
                <w:color w:val="000000"/>
                <w:sz w:val="20"/>
                <w:szCs w:val="20"/>
              </w:rPr>
              <w:t xml:space="preserve">00.S</w:t>
            </w:r>
            <w:r>
              <w:rPr>
                <w:color w:val="000000"/>
                <w:sz w:val="20"/>
                <w:szCs w:val="20"/>
              </w:rPr>
              <w:t xml:space="preserve">504Н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500,00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500,00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Целевые средства </w:t>
            </w:r>
            <w:r>
              <w:rPr>
                <w:b/>
                <w:color w:val="000000"/>
                <w:sz w:val="20"/>
                <w:szCs w:val="20"/>
              </w:rPr>
              <w:t xml:space="preserve">на  реализацию</w:t>
            </w:r>
            <w:r>
              <w:rPr>
                <w:b/>
                <w:color w:val="000000"/>
                <w:sz w:val="20"/>
                <w:szCs w:val="20"/>
              </w:rPr>
              <w:t xml:space="preserve"> передаваемых государственных полномочий за счет средств краевого бюджета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1 724 081,10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1 724 081,10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1 724 081,10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реализацию отдельных мер по обеспечению ограничения платы граждан за коммунальные услуги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08.0.00.75700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705 226,70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705 226,70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705 226,70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компенсацию выпадающих доходов энергоснабжающих организаций, связанных с применением государственных регулируемых цен (тарифов) на элек</w:t>
            </w:r>
            <w:r>
              <w:rPr>
                <w:color w:val="000000"/>
                <w:sz w:val="20"/>
                <w:szCs w:val="20"/>
              </w:rPr>
              <w:t xml:space="preserve">трическую энергию, поставляемую населению объектами электроэнергетики, расположенными на территориях края,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08.0.00.75770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977 088,50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977 088,50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977 088,50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предостав</w:t>
            </w:r>
            <w:r>
              <w:rPr>
                <w:color w:val="000000"/>
                <w:sz w:val="20"/>
                <w:szCs w:val="20"/>
              </w:rPr>
              <w:t xml:space="preserve">ление субсидий на возмещение части затрат, связанных с реализацией мяса домашнего северного оленя, сельскохозяйственным товаропроизводителям всех форм собственности и индивидуальным предпринимателям, осуществляющим реализацию мяса домашнего северного оленя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30.0.00.28220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6 661,20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6 661,20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6 661,20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2.4.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предоставление субсиди</w:t>
            </w:r>
            <w:r>
              <w:rPr>
                <w:color w:val="000000"/>
                <w:sz w:val="20"/>
                <w:szCs w:val="20"/>
              </w:rPr>
              <w:t xml:space="preserve">й на возмещение части затрат, связанных с реализацией продукции охоты (мяса дикого северного оленя) и (или) водных биологических ресурсов и продукции их переработки, организациям всех форм собственности и индивидуальным предпринимателям, осуществляющим реа</w:t>
            </w:r>
            <w:r>
              <w:rPr>
                <w:color w:val="000000"/>
                <w:sz w:val="20"/>
                <w:szCs w:val="20"/>
              </w:rPr>
              <w:t xml:space="preserve">лизацию продукции охоты (мяса дикого северного оленя) и (или) водных биологических ресурсов и продукции их переработки, при условии, что не менее 70 процентов от общего числа их работников и (или) привлеченных ими по гражданско-правовым договорам граждан, </w:t>
            </w:r>
            <w:r>
              <w:rPr>
                <w:color w:val="000000"/>
                <w:sz w:val="20"/>
                <w:szCs w:val="20"/>
              </w:rPr>
              <w:t xml:space="preserve">осуществляющих заготовку продукции охоты (мяса дикого северного оленя) и (или) водных биологических ресурсов, составляют представители малочисленных народов, проживающих в  муниципальном округе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30.0.00.28230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35 056,70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35 056,70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35 056,70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2.5.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предоставление субсидий на возмещение 75 процентов фактически произведенных затрат на оплату потребления электроэнергии, связанного с производством сельскохозяйственной продукции, но не более 700 кВт/ч в месяц, за исключением затрат </w:t>
            </w:r>
            <w:r>
              <w:rPr>
                <w:color w:val="000000"/>
                <w:sz w:val="20"/>
                <w:szCs w:val="20"/>
              </w:rPr>
              <w:t xml:space="preserve">на оплату потребления электроэнергии, связанного с производством мяса домашнего северного оленя, сельскохозяйственным товаропроизводителям всех форм собственности и индивидуальным предпринимателям, осуществляющим производство сельскохозяйственной продукции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30.0.00.75230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48,00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Средства на осуществление отдельных целевых расходов на условиях </w:t>
            </w:r>
            <w:r>
              <w:rPr>
                <w:b/>
                <w:color w:val="000000"/>
                <w:sz w:val="20"/>
                <w:szCs w:val="20"/>
              </w:rPr>
              <w:t xml:space="preserve">софинансирования</w:t>
            </w:r>
            <w:r>
              <w:rPr>
                <w:b/>
                <w:color w:val="000000"/>
                <w:sz w:val="20"/>
                <w:szCs w:val="20"/>
              </w:rPr>
              <w:t xml:space="preserve"> за счет средств краевого бюджета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578 773,00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482 311,00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868 159,00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предоставление субсидии на реализацию мероприятий по развитию инфраструктуры в соответствии с долгосрочным планом комплексного социально-экономического развития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30.0.</w:t>
            </w:r>
            <w:r>
              <w:rPr>
                <w:color w:val="000000"/>
                <w:sz w:val="20"/>
                <w:szCs w:val="20"/>
              </w:rPr>
              <w:t xml:space="preserve">00.S</w:t>
            </w:r>
            <w:r>
              <w:rPr>
                <w:color w:val="000000"/>
                <w:sz w:val="20"/>
                <w:szCs w:val="20"/>
              </w:rPr>
              <w:t xml:space="preserve">504Н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578 773,00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482 311,00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868 159,00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16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2 849 575,25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2 723 943,69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3 109 791,69</w:t>
            </w:r>
            <w:r>
              <w:rPr>
                <w:sz w:val="20"/>
                <w:szCs w:val="20"/>
              </w:rPr>
            </w:r>
          </w:p>
        </w:tc>
      </w:tr>
    </w:tbl>
    <w:p>
      <w:pPr>
        <w:ind w:left="720"/>
        <w:jc w:val="both"/>
        <w:tabs>
          <w:tab w:val="left" w:pos="432" w:leader="none"/>
          <w:tab w:val="left" w:pos="1080" w:leader="none"/>
        </w:tabs>
        <w:rPr>
          <w:b/>
          <w:bCs/>
          <w:sz w:val="10"/>
          <w:szCs w:val="10"/>
          <w:highlight w:val="yellow"/>
        </w:rPr>
      </w:pPr>
      <w:r>
        <w:rPr>
          <w:b/>
          <w:bCs/>
          <w:sz w:val="10"/>
          <w:szCs w:val="10"/>
          <w:highlight w:val="yellow"/>
        </w:rPr>
      </w:r>
      <w:r>
        <w:rPr>
          <w:b/>
          <w:bCs/>
          <w:sz w:val="10"/>
          <w:szCs w:val="10"/>
          <w:highlight w:val="yellow"/>
        </w:rPr>
      </w:r>
    </w:p>
    <w:p>
      <w:pPr>
        <w:ind w:firstLine="684"/>
        <w:jc w:val="both"/>
        <w:spacing w:after="12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Объем средств Резервного фонда Администрации муниципального района </w:t>
      </w:r>
      <w:r>
        <w:rPr>
          <w:bCs/>
          <w:sz w:val="26"/>
          <w:szCs w:val="26"/>
        </w:rPr>
        <w:t xml:space="preserve">в целях финансового обеспечения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предусмотрен </w:t>
      </w:r>
      <w:r>
        <w:rPr>
          <w:b/>
          <w:bCs/>
          <w:sz w:val="26"/>
          <w:szCs w:val="26"/>
        </w:rPr>
        <w:t xml:space="preserve">на 2026 </w:t>
      </w:r>
      <w:r>
        <w:rPr>
          <w:rFonts w:cs="Arial"/>
          <w:b/>
          <w:sz w:val="26"/>
          <w:szCs w:val="26"/>
        </w:rPr>
        <w:t xml:space="preserve">год и плановый период 2027-2028 годо</w:t>
      </w:r>
      <w:r>
        <w:rPr>
          <w:rFonts w:cs="Arial"/>
          <w:b/>
          <w:bCs/>
          <w:sz w:val="26"/>
          <w:szCs w:val="26"/>
        </w:rPr>
        <w:t xml:space="preserve">в</w:t>
      </w:r>
      <w:r>
        <w:rPr>
          <w:b/>
          <w:bCs/>
          <w:sz w:val="26"/>
          <w:szCs w:val="26"/>
        </w:rPr>
        <w:t xml:space="preserve"> в сумме 30 650,00 тыс. рублей ежегодно.</w:t>
      </w:r>
      <w:r>
        <w:rPr>
          <w:b/>
          <w:bCs/>
          <w:sz w:val="26"/>
          <w:szCs w:val="26"/>
        </w:rPr>
      </w:r>
    </w:p>
    <w:p>
      <w:pPr>
        <w:ind w:firstLine="684"/>
        <w:jc w:val="both"/>
        <w:spacing w:after="120"/>
        <w:rPr>
          <w:b/>
          <w:bCs/>
          <w:sz w:val="26"/>
          <w:szCs w:val="26"/>
          <w:highlight w:val="white"/>
        </w:rPr>
      </w:pPr>
      <w:r>
        <w:rPr>
          <w:rFonts w:eastAsia="Calibri"/>
          <w:b/>
          <w:sz w:val="26"/>
          <w:szCs w:val="26"/>
          <w:highlight w:val="white"/>
        </w:rPr>
        <w:t xml:space="preserve">Расходы дорожного фонда Таймырского Долгано-Ненецкого муниципального района</w:t>
      </w:r>
      <w:r>
        <w:rPr>
          <w:rFonts w:eastAsia="Calibri"/>
          <w:sz w:val="26"/>
          <w:szCs w:val="26"/>
          <w:highlight w:val="white"/>
        </w:rPr>
        <w:t xml:space="preserve"> в рамках Муниципальной программы Таймырского Долгано-Ненецкого муниципального района «Развитие транспортно-дорожного комплекса и информационного общества Таймырского Долгано-Ненецкого муниципального района», а также внепрограммных расходов на </w:t>
      </w:r>
      <w:r>
        <w:rPr>
          <w:sz w:val="26"/>
          <w:szCs w:val="26"/>
          <w:highlight w:val="white"/>
          <w:lang w:eastAsia="ru-RU"/>
        </w:rPr>
        <w:t xml:space="preserve">финансовое обеспечение дорожной деятельности в отношении автомобильных дорог общего пользования местного значения</w:t>
      </w:r>
      <w:r>
        <w:rPr>
          <w:sz w:val="26"/>
          <w:szCs w:val="26"/>
          <w:highlight w:val="white"/>
        </w:rPr>
        <w:t xml:space="preserve">, запланированы </w:t>
      </w:r>
      <w:r>
        <w:rPr>
          <w:b/>
          <w:sz w:val="26"/>
          <w:szCs w:val="26"/>
          <w:highlight w:val="white"/>
        </w:rPr>
        <w:t xml:space="preserve">на</w:t>
      </w:r>
      <w:r>
        <w:rPr>
          <w:sz w:val="26"/>
          <w:szCs w:val="26"/>
          <w:highlight w:val="white"/>
        </w:rPr>
        <w:t xml:space="preserve"> </w:t>
      </w:r>
      <w:r>
        <w:rPr>
          <w:b/>
          <w:sz w:val="26"/>
          <w:szCs w:val="26"/>
          <w:highlight w:val="white"/>
        </w:rPr>
        <w:t xml:space="preserve">2026 год </w:t>
      </w:r>
      <w:r>
        <w:rPr>
          <w:sz w:val="26"/>
          <w:szCs w:val="26"/>
          <w:highlight w:val="white"/>
        </w:rPr>
        <w:t xml:space="preserve">в сумме</w:t>
      </w:r>
      <w:r>
        <w:rPr>
          <w:b/>
          <w:sz w:val="26"/>
          <w:szCs w:val="26"/>
          <w:highlight w:val="white"/>
        </w:rPr>
        <w:t xml:space="preserve"> 239 188,60 тыс. рублей</w:t>
      </w:r>
      <w:r>
        <w:rPr>
          <w:sz w:val="26"/>
          <w:szCs w:val="26"/>
          <w:highlight w:val="white"/>
        </w:rPr>
        <w:t xml:space="preserve">, на плановый период </w:t>
      </w:r>
      <w:r>
        <w:rPr>
          <w:b/>
          <w:sz w:val="26"/>
          <w:szCs w:val="26"/>
          <w:highlight w:val="white"/>
        </w:rPr>
        <w:t xml:space="preserve">2026 и 2027 годов</w:t>
      </w:r>
      <w:r>
        <w:rPr>
          <w:sz w:val="26"/>
          <w:szCs w:val="26"/>
          <w:highlight w:val="white"/>
        </w:rPr>
        <w:t xml:space="preserve"> в сумме </w:t>
      </w:r>
      <w:r>
        <w:rPr>
          <w:b/>
          <w:bCs/>
          <w:sz w:val="26"/>
          <w:szCs w:val="26"/>
          <w:highlight w:val="white"/>
        </w:rPr>
        <w:t xml:space="preserve">221 152,68</w:t>
      </w:r>
      <w:r>
        <w:rPr>
          <w:b/>
          <w:sz w:val="26"/>
          <w:szCs w:val="26"/>
          <w:highlight w:val="white"/>
        </w:rPr>
        <w:t xml:space="preserve"> тыс. рублей ежегодно</w:t>
      </w:r>
      <w:r>
        <w:rPr>
          <w:sz w:val="26"/>
          <w:szCs w:val="26"/>
          <w:highlight w:val="white"/>
        </w:rPr>
        <w:t xml:space="preserve">.</w:t>
      </w:r>
      <w:r>
        <w:rPr>
          <w:b/>
          <w:bCs/>
          <w:sz w:val="26"/>
          <w:szCs w:val="26"/>
          <w:highlight w:val="white"/>
        </w:rPr>
      </w:r>
    </w:p>
    <w:p>
      <w:pPr>
        <w:ind w:right="-6" w:firstLine="686"/>
        <w:jc w:val="both"/>
        <w:spacing w:after="120"/>
        <w:rPr>
          <w:sz w:val="26"/>
          <w:szCs w:val="26"/>
        </w:rPr>
      </w:pPr>
      <w:r>
        <w:rPr>
          <w:b/>
          <w:sz w:val="26"/>
          <w:szCs w:val="26"/>
        </w:rPr>
        <w:t xml:space="preserve">Общий объем бюджетных ассигнований, направляемых на исполнение публичных нормативных обязательств</w:t>
      </w:r>
      <w:r>
        <w:rPr>
          <w:sz w:val="26"/>
          <w:szCs w:val="26"/>
        </w:rPr>
        <w:t xml:space="preserve"> Таймырского Долгано-Ненецкого муниципального района перед физическими лицами, в проекте решения предусмотрен</w:t>
      </w:r>
      <w:r>
        <w:rPr>
          <w:b/>
          <w:sz w:val="26"/>
          <w:szCs w:val="26"/>
        </w:rPr>
        <w:t xml:space="preserve"> на 2026 год </w:t>
      </w:r>
      <w:r>
        <w:rPr>
          <w:sz w:val="26"/>
          <w:szCs w:val="26"/>
        </w:rPr>
        <w:t xml:space="preserve">в</w:t>
      </w:r>
      <w:r>
        <w:rPr>
          <w:color w:val="000000" w:themeColor="text1"/>
          <w:sz w:val="26"/>
          <w:szCs w:val="26"/>
          <w:highlight w:val="white"/>
        </w:rPr>
        <w:t xml:space="preserve"> сумме</w:t>
      </w:r>
      <w:r>
        <w:rPr>
          <w:b/>
          <w:color w:val="000000" w:themeColor="text1"/>
          <w:sz w:val="26"/>
          <w:szCs w:val="26"/>
          <w:highlight w:val="white"/>
        </w:rPr>
        <w:t xml:space="preserve"> 2 394,80 тыс. рублей</w:t>
      </w:r>
      <w:r>
        <w:rPr>
          <w:sz w:val="26"/>
          <w:szCs w:val="26"/>
        </w:rPr>
        <w:t xml:space="preserve">, на плановый период </w:t>
      </w:r>
      <w:r>
        <w:rPr>
          <w:b/>
          <w:sz w:val="26"/>
          <w:szCs w:val="26"/>
        </w:rPr>
        <w:t xml:space="preserve">2027 и 2028 годов</w:t>
      </w:r>
      <w:r>
        <w:rPr>
          <w:sz w:val="26"/>
          <w:szCs w:val="26"/>
        </w:rPr>
        <w:t xml:space="preserve"> в сумме </w:t>
      </w:r>
      <w:r>
        <w:rPr>
          <w:b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  <w:highlight w:val="white"/>
        </w:rPr>
        <w:t xml:space="preserve">1 184,90 тыс. рублей ежегодно</w:t>
      </w:r>
      <w:r>
        <w:rPr>
          <w:color w:val="000000" w:themeColor="text1"/>
          <w:sz w:val="26"/>
          <w:szCs w:val="26"/>
          <w:highlight w:val="white"/>
        </w:rPr>
        <w:t xml:space="preserve">, </w:t>
      </w:r>
      <w:r>
        <w:rPr>
          <w:sz w:val="26"/>
          <w:szCs w:val="26"/>
        </w:rPr>
        <w:t xml:space="preserve">в том числе на:</w:t>
      </w:r>
      <w:r>
        <w:rPr>
          <w:sz w:val="26"/>
          <w:szCs w:val="26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432" w:leader="none"/>
          <w:tab w:val="left" w:pos="1134" w:leader="none"/>
        </w:tabs>
        <w:rPr>
          <w:color w:val="000000" w:themeColor="text1"/>
          <w:sz w:val="26"/>
          <w:szCs w:val="26"/>
          <w:highlight w:val="white"/>
        </w:rPr>
      </w:pPr>
      <w:r>
        <w:rPr>
          <w:sz w:val="26"/>
          <w:szCs w:val="26"/>
        </w:rPr>
        <w:t xml:space="preserve">реализацию Решения Думы Таймырского Долгано-Ненецкого муниципального района от 07.07.2009 № 04-0062 «О наградах Таймырского Долгано-Ненецкого муниципального района» (выплаты гражданам, удостоенным звания «Почетный гражданин Таймыра») </w:t>
      </w:r>
      <w:r>
        <w:rPr>
          <w:b/>
          <w:sz w:val="26"/>
          <w:szCs w:val="26"/>
        </w:rPr>
        <w:t xml:space="preserve">в 2026 году </w:t>
      </w:r>
      <w:r>
        <w:rPr>
          <w:sz w:val="26"/>
          <w:szCs w:val="26"/>
        </w:rPr>
        <w:t xml:space="preserve">в сумме </w:t>
      </w:r>
      <w:r>
        <w:rPr>
          <w:b/>
          <w:color w:val="000000" w:themeColor="text1"/>
          <w:sz w:val="26"/>
          <w:szCs w:val="26"/>
          <w:highlight w:val="white"/>
        </w:rPr>
        <w:t xml:space="preserve">464,90 тыс. рублей, в 2027-2028 годах</w:t>
      </w:r>
      <w:r>
        <w:rPr>
          <w:color w:val="000000" w:themeColor="text1"/>
          <w:sz w:val="26"/>
          <w:szCs w:val="26"/>
          <w:highlight w:val="white"/>
        </w:rPr>
        <w:t xml:space="preserve"> в сумме </w:t>
      </w:r>
      <w:r>
        <w:rPr>
          <w:b/>
          <w:color w:val="000000" w:themeColor="text1"/>
          <w:sz w:val="26"/>
          <w:szCs w:val="26"/>
          <w:highlight w:val="white"/>
        </w:rPr>
        <w:t xml:space="preserve">412,34 тыс. рублей ежегодно</w:t>
      </w:r>
      <w:r>
        <w:rPr>
          <w:color w:val="000000" w:themeColor="text1"/>
          <w:sz w:val="26"/>
          <w:szCs w:val="26"/>
          <w:highlight w:val="white"/>
        </w:rPr>
        <w:t xml:space="preserve">;</w:t>
      </w:r>
      <w:r>
        <w:rPr>
          <w:color w:val="000000" w:themeColor="text1"/>
          <w:sz w:val="26"/>
          <w:szCs w:val="26"/>
          <w:highlight w:val="white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432" w:leader="none"/>
          <w:tab w:val="left" w:pos="1134" w:leader="none"/>
        </w:tabs>
        <w:rPr>
          <w:color w:val="000000" w:themeColor="text1"/>
          <w:sz w:val="26"/>
          <w:szCs w:val="26"/>
          <w:highlight w:val="white"/>
        </w:rPr>
      </w:pPr>
      <w:r>
        <w:rPr>
          <w:color w:val="000000" w:themeColor="text1"/>
          <w:sz w:val="26"/>
          <w:szCs w:val="26"/>
          <w:highlight w:val="white"/>
        </w:rPr>
        <w:t xml:space="preserve">реализацию Решения </w:t>
      </w:r>
      <w:r>
        <w:rPr>
          <w:color w:val="000000" w:themeColor="text1"/>
          <w:sz w:val="26"/>
          <w:szCs w:val="26"/>
          <w:highlight w:val="white"/>
        </w:rPr>
        <w:t xml:space="preserve">Диксонского</w:t>
      </w:r>
      <w:r>
        <w:rPr>
          <w:color w:val="000000" w:themeColor="text1"/>
          <w:sz w:val="26"/>
          <w:szCs w:val="26"/>
          <w:highlight w:val="white"/>
        </w:rPr>
        <w:t xml:space="preserve"> городского совета депутатов от 24.11.2014 №19-2 «О наградах и поощрениях муниципального образования «Городское поселение Диксон» в сумме</w:t>
      </w:r>
      <w:r>
        <w:rPr>
          <w:b/>
          <w:bCs/>
          <w:color w:val="000000" w:themeColor="text1"/>
          <w:sz w:val="26"/>
          <w:szCs w:val="26"/>
          <w:highlight w:val="white"/>
        </w:rPr>
        <w:t xml:space="preserve"> 623,14 тыс. </w:t>
      </w:r>
      <w:r>
        <w:rPr>
          <w:b/>
          <w:bCs/>
          <w:color w:val="000000" w:themeColor="text1"/>
          <w:sz w:val="26"/>
          <w:szCs w:val="26"/>
          <w:highlight w:val="white"/>
        </w:rPr>
        <w:t xml:space="preserve">рублей  ежегодно</w:t>
      </w:r>
      <w:r>
        <w:rPr>
          <w:color w:val="000000" w:themeColor="text1"/>
          <w:sz w:val="26"/>
          <w:szCs w:val="26"/>
          <w:highlight w:val="white"/>
        </w:rPr>
        <w:t xml:space="preserve">;</w:t>
      </w:r>
      <w:r>
        <w:rPr>
          <w:color w:val="000000" w:themeColor="text1"/>
          <w:sz w:val="26"/>
          <w:szCs w:val="26"/>
          <w:highlight w:val="white"/>
        </w:rPr>
      </w:r>
    </w:p>
    <w:p>
      <w:pPr>
        <w:numPr>
          <w:ilvl w:val="0"/>
          <w:numId w:val="20"/>
        </w:numPr>
        <w:ind w:left="0" w:firstLine="709"/>
        <w:jc w:val="both"/>
        <w:tabs>
          <w:tab w:val="left" w:pos="432" w:leader="none"/>
          <w:tab w:val="left" w:pos="1134" w:leader="none"/>
        </w:tabs>
        <w:rPr>
          <w:color w:val="000000" w:themeColor="text1"/>
          <w:sz w:val="26"/>
          <w:szCs w:val="26"/>
          <w:highlight w:val="white"/>
        </w:rPr>
      </w:pPr>
      <w:r>
        <w:rPr>
          <w:color w:val="000000" w:themeColor="text1"/>
          <w:sz w:val="26"/>
          <w:szCs w:val="26"/>
          <w:highlight w:val="white"/>
        </w:rPr>
        <w:t xml:space="preserve">расходы на предоставление ежегодной выплаты гражданам, удостоенным звания "Почетный гражданин города Дудинки" </w:t>
      </w:r>
      <w:r>
        <w:rPr>
          <w:b/>
          <w:bCs/>
          <w:color w:val="000000" w:themeColor="text1"/>
          <w:sz w:val="26"/>
          <w:szCs w:val="26"/>
          <w:highlight w:val="white"/>
        </w:rPr>
        <w:t xml:space="preserve">149,42 тыс. рублей ежегодно</w:t>
      </w:r>
      <w:r>
        <w:rPr>
          <w:color w:val="000000" w:themeColor="text1"/>
          <w:sz w:val="26"/>
          <w:szCs w:val="26"/>
          <w:highlight w:val="white"/>
        </w:rPr>
        <w:t xml:space="preserve">.</w:t>
      </w:r>
      <w:r>
        <w:rPr>
          <w:color w:val="000000" w:themeColor="text1"/>
          <w:sz w:val="26"/>
          <w:szCs w:val="26"/>
          <w:highlight w:val="white"/>
        </w:rPr>
      </w:r>
    </w:p>
    <w:p>
      <w:pPr>
        <w:numPr>
          <w:ilvl w:val="0"/>
          <w:numId w:val="15"/>
        </w:numPr>
        <w:ind w:left="0" w:firstLine="709"/>
        <w:jc w:val="both"/>
        <w:spacing w:after="120"/>
        <w:tabs>
          <w:tab w:val="left" w:pos="432" w:leader="none"/>
          <w:tab w:val="left" w:pos="1134" w:leader="none"/>
        </w:tabs>
        <w:rPr>
          <w:rFonts w:ascii="Arial" w:hAnsi="Arial" w:cs="Arial"/>
          <w:color w:val="000000" w:themeColor="text1"/>
          <w:highlight w:val="white"/>
        </w:rPr>
      </w:pPr>
      <w:r>
        <w:rPr>
          <w:sz w:val="26"/>
          <w:szCs w:val="26"/>
        </w:rPr>
        <w:t xml:space="preserve">реализацию </w:t>
      </w:r>
      <w:r>
        <w:rPr>
          <w:iCs/>
          <w:sz w:val="26"/>
          <w:szCs w:val="26"/>
        </w:rPr>
        <w:t xml:space="preserve">Решения Таймырского Долгано-Ненецкого районного Совета депутатов Красноярского края от 21.06.2017 № 12-0170 "Об установлении для гражд</w:t>
      </w:r>
      <w:r>
        <w:rPr>
          <w:iCs/>
          <w:sz w:val="26"/>
          <w:szCs w:val="26"/>
        </w:rPr>
        <w:t xml:space="preserve">ан, проживающих на территории Таймырского Долгано-Ненецкого муниципального района, мер поддержки в виде возмещения части затрат на оплату электрической энергии, вырабатываемой дизельными электростанциями, израсходованной для освещения и отопления гаражей" </w:t>
      </w:r>
      <w:r>
        <w:rPr>
          <w:b/>
          <w:iCs/>
          <w:sz w:val="26"/>
          <w:szCs w:val="26"/>
        </w:rPr>
        <w:t xml:space="preserve">в 2026 году</w:t>
      </w:r>
      <w:r>
        <w:rPr>
          <w:iCs/>
          <w:sz w:val="26"/>
          <w:szCs w:val="26"/>
        </w:rPr>
        <w:t xml:space="preserve"> в сум</w:t>
      </w:r>
      <w:r>
        <w:rPr>
          <w:iCs/>
          <w:color w:val="000000" w:themeColor="text1"/>
          <w:sz w:val="26"/>
          <w:szCs w:val="26"/>
          <w:highlight w:val="white"/>
        </w:rPr>
        <w:t xml:space="preserve">ме  </w:t>
      </w:r>
      <w:r>
        <w:rPr>
          <w:b/>
          <w:iCs/>
          <w:color w:val="000000" w:themeColor="text1"/>
          <w:sz w:val="26"/>
          <w:szCs w:val="26"/>
          <w:highlight w:val="white"/>
        </w:rPr>
        <w:t xml:space="preserve">1 157,34 </w:t>
      </w:r>
      <w:r>
        <w:rPr>
          <w:b/>
          <w:color w:val="000000" w:themeColor="text1"/>
          <w:sz w:val="26"/>
          <w:szCs w:val="26"/>
          <w:highlight w:val="white"/>
        </w:rPr>
        <w:t xml:space="preserve">тыс. рублей.</w:t>
      </w:r>
      <w:r>
        <w:rPr>
          <w:rFonts w:ascii="Arial" w:hAnsi="Arial" w:cs="Arial"/>
          <w:color w:val="000000" w:themeColor="text1"/>
          <w:highlight w:val="white"/>
        </w:rPr>
      </w:r>
    </w:p>
    <w:p>
      <w:pPr>
        <w:pStyle w:val="913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 xml:space="preserve">III</w:t>
      </w:r>
      <w:r>
        <w:rPr>
          <w:b/>
          <w:sz w:val="26"/>
          <w:szCs w:val="26"/>
        </w:rPr>
        <w:t xml:space="preserve">. ДЕФИЦИТ И ИСТОЧНИКИ ФИНАНСИРОВАНИЯ ДЕФИЦИТА</w:t>
      </w:r>
      <w:r>
        <w:rPr>
          <w:b/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Дефицит бюджета муниципального округа </w:t>
      </w:r>
      <w:r>
        <w:rPr>
          <w:b/>
          <w:sz w:val="26"/>
          <w:szCs w:val="26"/>
        </w:rPr>
        <w:t xml:space="preserve">на 2026 год</w:t>
      </w:r>
      <w:r>
        <w:rPr>
          <w:sz w:val="26"/>
          <w:szCs w:val="26"/>
        </w:rPr>
        <w:t xml:space="preserve"> в соответствии с проектом решения планируется в сумме </w:t>
      </w:r>
      <w:r>
        <w:rPr>
          <w:b/>
          <w:sz w:val="26"/>
          <w:szCs w:val="26"/>
        </w:rPr>
        <w:t xml:space="preserve">541 469,72 тыс. рублей</w:t>
      </w:r>
      <w:r>
        <w:rPr>
          <w:sz w:val="26"/>
          <w:szCs w:val="26"/>
        </w:rPr>
        <w:t xml:space="preserve">, на </w:t>
      </w:r>
      <w:r>
        <w:rPr>
          <w:b/>
          <w:sz w:val="26"/>
          <w:szCs w:val="26"/>
        </w:rPr>
        <w:t xml:space="preserve">2027 и 2028 годов</w:t>
      </w:r>
      <w:r>
        <w:rPr>
          <w:sz w:val="26"/>
          <w:szCs w:val="26"/>
        </w:rPr>
        <w:t xml:space="preserve"> –                                           </w:t>
      </w:r>
      <w:r>
        <w:rPr>
          <w:b/>
          <w:sz w:val="26"/>
          <w:szCs w:val="26"/>
        </w:rPr>
        <w:t xml:space="preserve">52 707,34 тыс. рублей</w:t>
      </w:r>
      <w:r>
        <w:rPr>
          <w:sz w:val="26"/>
          <w:szCs w:val="26"/>
        </w:rPr>
        <w:t xml:space="preserve"> и </w:t>
      </w:r>
      <w:r>
        <w:rPr>
          <w:b/>
          <w:sz w:val="26"/>
          <w:szCs w:val="26"/>
        </w:rPr>
        <w:t xml:space="preserve">66 438,00 тыс. рублей</w:t>
      </w:r>
      <w:r>
        <w:rPr>
          <w:sz w:val="26"/>
          <w:szCs w:val="26"/>
        </w:rPr>
        <w:t xml:space="preserve"> соответственно.</w:t>
      </w:r>
      <w:r>
        <w:rPr>
          <w:sz w:val="26"/>
          <w:szCs w:val="26"/>
        </w:rPr>
      </w:r>
    </w:p>
    <w:p>
      <w:pPr>
        <w:pStyle w:val="913"/>
        <w:ind w:right="-6" w:firstLine="709"/>
        <w:jc w:val="both"/>
        <w:tabs>
          <w:tab w:val="left" w:pos="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Источниками финансирования дефицита бюджета муниципального округа будут являться изменение остатков средств на счетах по учету средств бюджета муниципального округа в течение соответствующего финансового года </w:t>
      </w:r>
      <w:r>
        <w:rPr>
          <w:b/>
          <w:sz w:val="26"/>
          <w:szCs w:val="26"/>
        </w:rPr>
        <w:t xml:space="preserve">на 2026 год</w:t>
      </w:r>
      <w:r>
        <w:rPr>
          <w:sz w:val="26"/>
          <w:szCs w:val="26"/>
        </w:rPr>
        <w:t xml:space="preserve"> в сумме </w:t>
      </w:r>
      <w:r>
        <w:rPr>
          <w:b/>
          <w:sz w:val="26"/>
          <w:szCs w:val="26"/>
        </w:rPr>
        <w:t xml:space="preserve">540 369,72 тыс. рублей</w:t>
      </w:r>
      <w:r>
        <w:rPr>
          <w:sz w:val="26"/>
          <w:szCs w:val="26"/>
        </w:rPr>
        <w:t xml:space="preserve">, на </w:t>
      </w:r>
      <w:r>
        <w:rPr>
          <w:b/>
          <w:sz w:val="26"/>
          <w:szCs w:val="26"/>
        </w:rPr>
        <w:t xml:space="preserve">2027 и 2028 годов</w:t>
      </w:r>
      <w:r>
        <w:rPr>
          <w:sz w:val="26"/>
          <w:szCs w:val="26"/>
        </w:rPr>
        <w:t xml:space="preserve"> – </w:t>
      </w:r>
      <w:r>
        <w:rPr>
          <w:b/>
          <w:sz w:val="26"/>
          <w:szCs w:val="26"/>
        </w:rPr>
        <w:t xml:space="preserve">51 607,34 тыс. рублей</w:t>
      </w:r>
      <w:r>
        <w:rPr>
          <w:sz w:val="26"/>
          <w:szCs w:val="26"/>
        </w:rPr>
        <w:t xml:space="preserve"> и                        </w:t>
      </w:r>
      <w:r>
        <w:rPr>
          <w:b/>
          <w:sz w:val="26"/>
          <w:szCs w:val="26"/>
        </w:rPr>
        <w:t xml:space="preserve">65 338,00 тыс. рублей</w:t>
      </w:r>
      <w:r>
        <w:rPr>
          <w:sz w:val="26"/>
          <w:szCs w:val="26"/>
        </w:rPr>
        <w:t xml:space="preserve"> соответственно, а также возврат</w:t>
      </w:r>
      <w:r>
        <w:t xml:space="preserve"> </w:t>
      </w:r>
      <w:r>
        <w:rPr>
          <w:sz w:val="26"/>
          <w:szCs w:val="26"/>
        </w:rPr>
        <w:t xml:space="preserve">бюджетных кредитов, предоставленных на осущест</w:t>
      </w:r>
      <w:r>
        <w:rPr>
          <w:sz w:val="26"/>
          <w:szCs w:val="26"/>
        </w:rPr>
        <w:t xml:space="preserve">вление деятельности по организации и проведению завоза топливно-энергетических ресурсов на территорию муниципального образования (погашение задолженности по бюджетному кредиту муниципальным предприятием Таймырского Долгано-Ненецкого муниципального района «</w:t>
      </w:r>
      <w:r>
        <w:rPr>
          <w:sz w:val="26"/>
          <w:szCs w:val="26"/>
        </w:rPr>
        <w:t xml:space="preserve">Таймыртопснаб</w:t>
      </w:r>
      <w:r>
        <w:rPr>
          <w:sz w:val="26"/>
          <w:szCs w:val="26"/>
        </w:rPr>
        <w:t xml:space="preserve">» в 2026 - 2028 годах по 1 000,00 тыс. рублей ежегодно и индивидуальным предпринимателем Никитченко Е.В. по средствам Регионального фонда государственно</w:t>
      </w:r>
      <w:r>
        <w:rPr>
          <w:sz w:val="26"/>
          <w:szCs w:val="26"/>
        </w:rPr>
        <w:t xml:space="preserve">й финансовой поддержки завоза продукции (товаров), переданных с 1 января 2006 года в собственность Таймырского Долгано-Ненецкого муниципального района в соответствии с Соглашениями от 01.03.2006 № ГПУ-10-03 в 2026-2028 годах - 100,0 тыс. рублей ежегодно), </w:t>
      </w:r>
      <w:r>
        <w:rPr>
          <w:b/>
          <w:sz w:val="26"/>
          <w:szCs w:val="26"/>
        </w:rPr>
        <w:t xml:space="preserve">в 2026 – 2028 годах </w:t>
      </w:r>
      <w:r>
        <w:rPr>
          <w:sz w:val="26"/>
          <w:szCs w:val="26"/>
        </w:rPr>
        <w:t xml:space="preserve">– </w:t>
      </w:r>
      <w:r>
        <w:rPr>
          <w:b/>
          <w:sz w:val="26"/>
          <w:szCs w:val="26"/>
        </w:rPr>
        <w:t xml:space="preserve">1 100,00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тыс. рублей </w:t>
      </w:r>
      <w:r>
        <w:rPr>
          <w:sz w:val="26"/>
          <w:szCs w:val="26"/>
        </w:rPr>
        <w:t xml:space="preserve">ежегодно.</w:t>
      </w:r>
      <w:r>
        <w:rPr>
          <w:sz w:val="26"/>
          <w:szCs w:val="26"/>
        </w:rPr>
      </w:r>
    </w:p>
    <w:p>
      <w:pPr>
        <w:ind w:firstLine="720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Также планируется привлечение и погашение бюджетных кредитов из краевого бюджета </w:t>
      </w:r>
      <w:r>
        <w:rPr>
          <w:b/>
          <w:sz w:val="26"/>
          <w:szCs w:val="26"/>
        </w:rPr>
        <w:t xml:space="preserve">в 2026 – 2028 годах </w:t>
      </w:r>
      <w:r>
        <w:rPr>
          <w:sz w:val="26"/>
          <w:szCs w:val="26"/>
        </w:rPr>
        <w:t xml:space="preserve">в сумме </w:t>
      </w:r>
      <w:r>
        <w:rPr>
          <w:b/>
          <w:sz w:val="26"/>
          <w:szCs w:val="26"/>
        </w:rPr>
        <w:t xml:space="preserve">100 000,00 тыс. рублей</w:t>
      </w:r>
      <w:r>
        <w:rPr>
          <w:sz w:val="26"/>
          <w:szCs w:val="26"/>
        </w:rPr>
        <w:t xml:space="preserve"> ежегодно.</w:t>
      </w:r>
      <w:r>
        <w:rPr>
          <w:sz w:val="26"/>
          <w:szCs w:val="26"/>
        </w:rPr>
      </w:r>
    </w:p>
    <w:p>
      <w:pPr>
        <w:ind w:firstLine="708"/>
        <w:jc w:val="both"/>
        <w:spacing w:after="12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IV. МУНИЦИПАЛЬНЫЙ ДОЛГ </w:t>
      </w:r>
      <w:r>
        <w:rPr>
          <w:b/>
          <w:sz w:val="26"/>
          <w:szCs w:val="26"/>
        </w:rPr>
      </w:r>
    </w:p>
    <w:p>
      <w:pPr>
        <w:pStyle w:val="913"/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Верхний предел муниципального внутреннего долга по долговым обязательствам бюджета муниципального округа составит:</w:t>
      </w:r>
      <w:r>
        <w:rPr>
          <w:sz w:val="26"/>
          <w:szCs w:val="26"/>
        </w:rPr>
      </w:r>
    </w:p>
    <w:p>
      <w:pPr>
        <w:pStyle w:val="913"/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 по состоянию </w:t>
      </w:r>
      <w:r>
        <w:rPr>
          <w:b/>
          <w:sz w:val="26"/>
          <w:szCs w:val="26"/>
        </w:rPr>
        <w:t xml:space="preserve">на 1 января 2027 года</w:t>
      </w:r>
      <w:r>
        <w:rPr>
          <w:sz w:val="26"/>
          <w:szCs w:val="26"/>
        </w:rPr>
        <w:t xml:space="preserve"> в сумме </w:t>
      </w:r>
      <w:r>
        <w:rPr>
          <w:b/>
          <w:sz w:val="26"/>
          <w:szCs w:val="26"/>
        </w:rPr>
        <w:t xml:space="preserve">0,00 тыс. рублей</w:t>
      </w:r>
      <w:r>
        <w:rPr>
          <w:sz w:val="26"/>
          <w:szCs w:val="26"/>
        </w:rPr>
        <w:t xml:space="preserve">, в том числе по муниципальным гарантиям в сумме </w:t>
      </w:r>
      <w:r>
        <w:rPr>
          <w:b/>
          <w:sz w:val="26"/>
          <w:szCs w:val="26"/>
        </w:rPr>
        <w:t xml:space="preserve">0,00 тыс. рублей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</w:p>
    <w:p>
      <w:pPr>
        <w:pStyle w:val="913"/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 по состоянию </w:t>
      </w:r>
      <w:r>
        <w:rPr>
          <w:b/>
          <w:sz w:val="26"/>
          <w:szCs w:val="26"/>
        </w:rPr>
        <w:t xml:space="preserve">на 1 января 2028 года</w:t>
      </w:r>
      <w:r>
        <w:rPr>
          <w:sz w:val="26"/>
          <w:szCs w:val="26"/>
        </w:rPr>
        <w:t xml:space="preserve"> в сумме </w:t>
      </w:r>
      <w:r>
        <w:rPr>
          <w:b/>
          <w:sz w:val="26"/>
          <w:szCs w:val="26"/>
        </w:rPr>
        <w:t xml:space="preserve">0,00 тыс. рублей</w:t>
      </w:r>
      <w:r>
        <w:rPr>
          <w:sz w:val="26"/>
          <w:szCs w:val="26"/>
        </w:rPr>
        <w:t xml:space="preserve">, в том числе по муниципальным гарантиям в сумме </w:t>
      </w:r>
      <w:r>
        <w:rPr>
          <w:b/>
          <w:sz w:val="26"/>
          <w:szCs w:val="26"/>
        </w:rPr>
        <w:t xml:space="preserve">0,00 тыс. рублей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</w:p>
    <w:p>
      <w:pPr>
        <w:pStyle w:val="913"/>
        <w:ind w:right="-6"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3) по состоянию </w:t>
      </w:r>
      <w:r>
        <w:rPr>
          <w:b/>
          <w:sz w:val="26"/>
          <w:szCs w:val="26"/>
        </w:rPr>
        <w:t xml:space="preserve">на 1 января 2029 года</w:t>
      </w:r>
      <w:r>
        <w:rPr>
          <w:sz w:val="26"/>
          <w:szCs w:val="26"/>
        </w:rPr>
        <w:t xml:space="preserve"> в сумме </w:t>
      </w:r>
      <w:r>
        <w:rPr>
          <w:b/>
          <w:sz w:val="26"/>
          <w:szCs w:val="26"/>
        </w:rPr>
        <w:t xml:space="preserve">0,00 тыс. рублей</w:t>
      </w:r>
      <w:r>
        <w:rPr>
          <w:sz w:val="26"/>
          <w:szCs w:val="26"/>
        </w:rPr>
        <w:t xml:space="preserve">, в том числе по муниципальным гарантиям в сумме </w:t>
      </w:r>
      <w:r>
        <w:rPr>
          <w:b/>
          <w:sz w:val="26"/>
          <w:szCs w:val="26"/>
        </w:rPr>
        <w:t xml:space="preserve">0,00 тыс. рублей.</w:t>
      </w:r>
      <w:r>
        <w:rPr>
          <w:b/>
          <w:sz w:val="26"/>
          <w:szCs w:val="26"/>
        </w:rPr>
      </w:r>
    </w:p>
    <w:p>
      <w:pPr>
        <w:pStyle w:val="913"/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Предельный объем расходов на обслуживание муниципального долга Таймырского Долгано-Ненецкого муниципального округа планируется</w:t>
      </w:r>
      <w:r>
        <w:rPr>
          <w:b/>
          <w:sz w:val="26"/>
          <w:szCs w:val="26"/>
        </w:rPr>
        <w:t xml:space="preserve"> в 20</w:t>
      </w:r>
      <w:bookmarkStart w:id="33" w:name="_GoBack"/>
      <w:r/>
      <w:bookmarkEnd w:id="33"/>
      <w:r>
        <w:rPr>
          <w:b/>
          <w:sz w:val="26"/>
          <w:szCs w:val="26"/>
        </w:rPr>
        <w:t xml:space="preserve">26-2028 годах в сумме                                   91,51 тыс. рублей</w:t>
      </w:r>
      <w:r>
        <w:rPr>
          <w:sz w:val="26"/>
          <w:szCs w:val="26"/>
        </w:rPr>
        <w:t xml:space="preserve"> ежегодно и определен с учетом:</w:t>
      </w:r>
      <w:r>
        <w:rPr>
          <w:sz w:val="26"/>
          <w:szCs w:val="26"/>
        </w:rPr>
      </w:r>
    </w:p>
    <w:p>
      <w:pPr>
        <w:pStyle w:val="913"/>
        <w:numPr>
          <w:ilvl w:val="0"/>
          <w:numId w:val="2"/>
        </w:numPr>
        <w:ind w:left="0" w:right="-6" w:firstLine="708"/>
        <w:jc w:val="both"/>
        <w:tabs>
          <w:tab w:val="left" w:pos="0" w:leader="none"/>
          <w:tab w:val="left" w:pos="10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привлечения бюджетных кредитов из бюджета Красноярского края;</w:t>
      </w:r>
      <w:r>
        <w:rPr>
          <w:sz w:val="26"/>
          <w:szCs w:val="26"/>
        </w:rPr>
      </w:r>
    </w:p>
    <w:p>
      <w:pPr>
        <w:pStyle w:val="913"/>
        <w:numPr>
          <w:ilvl w:val="0"/>
          <w:numId w:val="2"/>
        </w:numPr>
        <w:ind w:left="0" w:right="-6" w:firstLine="708"/>
        <w:jc w:val="both"/>
        <w:tabs>
          <w:tab w:val="left" w:pos="0" w:leader="none"/>
          <w:tab w:val="left" w:pos="10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уплаты процентов за пользование бюджетными кредитами в размере 0,1% годовых от объема привлекаемых кредитов (из расчета привлечения бюджетом Таймырского Долгано-Ненецкого муниципального района бюджетных кредитов из бюджета Красноярского края </w:t>
      </w:r>
      <w:r>
        <w:rPr>
          <w:b/>
          <w:sz w:val="26"/>
          <w:szCs w:val="26"/>
        </w:rPr>
        <w:t xml:space="preserve">в 2026 - 2028 годах</w:t>
      </w:r>
      <w:r>
        <w:rPr>
          <w:sz w:val="26"/>
          <w:szCs w:val="26"/>
        </w:rPr>
        <w:t xml:space="preserve">)</w:t>
      </w:r>
      <w:r>
        <w:rPr>
          <w:b/>
          <w:sz w:val="26"/>
          <w:szCs w:val="26"/>
        </w:rPr>
        <w:t xml:space="preserve">.</w:t>
      </w:r>
      <w:r>
        <w:rPr>
          <w:sz w:val="26"/>
          <w:szCs w:val="26"/>
        </w:rPr>
      </w:r>
    </w:p>
    <w:p>
      <w:pPr>
        <w:pStyle w:val="913"/>
        <w:ind w:right="-6" w:firstLine="709"/>
        <w:jc w:val="both"/>
        <w:tabs>
          <w:tab w:val="left" w:pos="0" w:leader="none"/>
        </w:tabs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Бюджетные ассигнования на исполнение муниципальных гарантий </w:t>
      </w:r>
      <w:r>
        <w:rPr>
          <w:sz w:val="26"/>
          <w:szCs w:val="26"/>
        </w:rPr>
        <w:t xml:space="preserve">Таймырского Долгано-Ненецкого муниципального округа по </w:t>
      </w:r>
      <w:r>
        <w:rPr>
          <w:rFonts w:eastAsia="Calibri"/>
          <w:sz w:val="26"/>
          <w:szCs w:val="26"/>
        </w:rPr>
        <w:t xml:space="preserve">возможным гарантийным случаям на 2026 год и плановый период 2027-2028 годов не предусмотрены. </w:t>
      </w:r>
      <w:r>
        <w:rPr>
          <w:rFonts w:eastAsia="Calibri"/>
          <w:sz w:val="26"/>
          <w:szCs w:val="26"/>
        </w:rPr>
      </w:r>
    </w:p>
    <w:p>
      <w:pPr>
        <w:pStyle w:val="913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связи с отсутствием у </w:t>
      </w:r>
      <w:r>
        <w:rPr>
          <w:sz w:val="26"/>
          <w:szCs w:val="26"/>
        </w:rPr>
        <w:t xml:space="preserve">Таймырского Долгано-Нене</w:t>
      </w:r>
      <w:r>
        <w:rPr>
          <w:sz w:val="26"/>
          <w:szCs w:val="26"/>
        </w:rPr>
        <w:t xml:space="preserve">цкого муниципального округа долговых обязательств в иностранной валюте, муниципальный внешний долг (в соответствии с п.2 статьи 107 Бюджетного кодекса Российской Федерации) на 1 января 2027 года, 1 января 2028 года и 1 января 2029 года не устанавливается. </w:t>
      </w:r>
      <w:r>
        <w:rPr>
          <w:bCs/>
          <w:sz w:val="26"/>
          <w:szCs w:val="26"/>
        </w:rPr>
      </w:r>
    </w:p>
    <w:p>
      <w:pPr>
        <w:ind w:firstLine="708"/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Приложение к проекту решения «Программа муниципальных гарантий», предусмотренное п.2. ст. 13 Положения о бюджетном процессе в Та</w:t>
      </w:r>
      <w:r>
        <w:rPr>
          <w:sz w:val="26"/>
          <w:szCs w:val="26"/>
        </w:rPr>
        <w:t xml:space="preserve">ймырском Долгано-Ненецком муниципальном районе, утвержденного Решением Таймырского Долгано-Ненецкого районного Совета депутатов от 20.06.2011 №09-0189, отсутствует по причине того, что предоставление муниципальных гарантий в 2026-2028 годах не планируется.</w:t>
      </w:r>
      <w:r>
        <w:rPr>
          <w:sz w:val="26"/>
          <w:szCs w:val="26"/>
        </w:rPr>
      </w:r>
    </w:p>
    <w:p>
      <w:pPr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Временно исполняющий обязанности </w:t>
      </w:r>
      <w:r>
        <w:rPr>
          <w:sz w:val="26"/>
          <w:szCs w:val="26"/>
        </w:rPr>
      </w:r>
    </w:p>
    <w:p>
      <w:pPr>
        <w:jc w:val="both"/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Главы муниципального района                                                                               П.В. </w:t>
      </w:r>
      <w:r>
        <w:rPr>
          <w:sz w:val="26"/>
          <w:szCs w:val="26"/>
        </w:rPr>
        <w:t xml:space="preserve">Томчик</w:t>
      </w:r>
      <w:r>
        <w:rPr>
          <w:sz w:val="26"/>
          <w:szCs w:val="26"/>
        </w:rPr>
        <w:t xml:space="preserve">                                                          </w:t>
      </w:r>
      <w:r>
        <w:rPr>
          <w:sz w:val="26"/>
          <w:szCs w:val="26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709" w:right="709" w:bottom="426" w:left="1134" w:header="284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MS Mincho">
    <w:panose1 w:val="02020503050405090304"/>
  </w:font>
  <w:font w:name="Verdana">
    <w:panose1 w:val="020B0604030504040204"/>
  </w:font>
  <w:font w:name="Times New Roman CYR">
    <w:panose1 w:val="02020603050405020304"/>
  </w:font>
  <w:font w:name="Microsoft YaHei">
    <w:panose1 w:val="020B0503020204020204"/>
  </w:font>
  <w:font w:name="Times New Roman">
    <w:panose1 w:val="02020603050405020304"/>
  </w:font>
  <w:font w:name="Symbol">
    <w:panose1 w:val="05050102010706020507"/>
  </w:font>
  <w:font w:name="Mangal">
    <w:panose1 w:val="02040503050406030204"/>
  </w:font>
  <w:font w:name="Courier New">
    <w:panose1 w:val="02070309020205020404"/>
  </w:font>
  <w:font w:name="Wingdings">
    <w:panose1 w:val="05000000000000000000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61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9</w:t>
    </w:r>
    <w:r>
      <w:fldChar w:fldCharType="end"/>
    </w:r>
    <w:r/>
  </w:p>
  <w:p>
    <w:pPr>
      <w:pStyle w:val="11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06" w:hanging="360"/>
        <w:tabs>
          <w:tab w:val="num" w:pos="1406" w:leader="none"/>
        </w:tabs>
      </w:pPr>
      <w:rPr>
        <w:rFonts w:ascii="Symbol" w:hAnsi="Symbol" w:cs="Wingdings"/>
        <w:color w:val="000000"/>
        <w:sz w:val="26"/>
        <w:szCs w:val="26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 w:cs="Courier New"/>
      </w:r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  <w:rPr>
        <w:rFonts w:ascii="Symbol" w:hAnsi="Symbol" w:cs="Symbol"/>
      </w:r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85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5606" w:hanging="360"/>
        <w:tabs>
          <w:tab w:val="num" w:pos="5606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6326" w:hanging="360"/>
        <w:tabs>
          <w:tab w:val="num" w:pos="6326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7046" w:hanging="360"/>
        <w:tabs>
          <w:tab w:val="num" w:pos="7046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7766" w:hanging="360"/>
        <w:tabs>
          <w:tab w:val="num" w:pos="7766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8486" w:hanging="360"/>
        <w:tabs>
          <w:tab w:val="num" w:pos="8486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9206" w:hanging="360"/>
        <w:tabs>
          <w:tab w:val="num" w:pos="9206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9926" w:hanging="360"/>
        <w:tabs>
          <w:tab w:val="num" w:pos="9926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10646" w:hanging="360"/>
        <w:tabs>
          <w:tab w:val="num" w:pos="10646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11366" w:hanging="360"/>
        <w:tabs>
          <w:tab w:val="num" w:pos="11366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06" w:hanging="360"/>
        <w:tabs>
          <w:tab w:val="num" w:pos="0" w:leader="none"/>
        </w:tabs>
      </w:pPr>
      <w:rPr>
        <w:rFonts w:ascii="Symbol" w:hAnsi="Symbol" w:cs="Symbol"/>
        <w:sz w:val="26"/>
        <w:szCs w:val="26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 w:cs="Courier New"/>
      </w:r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  <w:rPr>
        <w:rFonts w:ascii="Wingdings" w:hAnsi="Wingdings" w:cs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620" w:hanging="360"/>
        <w:tabs>
          <w:tab w:val="num" w:pos="16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0" w:leader="none"/>
        </w:tabs>
      </w:pPr>
      <w:rPr>
        <w:rFonts w:ascii="Symbol" w:hAnsi="Symbol" w:cs="Symbol"/>
        <w:sz w:val="26"/>
        <w:szCs w:val="26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 w:cs="Courier New"/>
      </w:r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  <w:rPr>
        <w:rFonts w:ascii="Wingdings" w:hAnsi="Wingdings" w:cs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11" w:hanging="360"/>
        <w:tabs>
          <w:tab w:val="num" w:pos="-218" w:leader="none"/>
        </w:tabs>
      </w:pPr>
      <w:rPr>
        <w:rFonts w:ascii="Symbol" w:hAnsi="Symbol" w:cs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 w:cs="Courier New"/>
      </w:r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  <w:rPr>
        <w:rFonts w:ascii="Symbol" w:hAnsi="Symbol" w:cs="Symbol"/>
      </w:r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0" w:leader="none"/>
        </w:tabs>
      </w:pPr>
      <w:rPr>
        <w:rFonts w:ascii="Symbol" w:hAnsi="Symbol" w:cs="Wingdings"/>
        <w:sz w:val="26"/>
        <w:szCs w:val="26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 w:cs="Courier New"/>
      </w:r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  <w:rPr>
        <w:rFonts w:ascii="Symbol" w:hAnsi="Symbol" w:cs="Symbol"/>
      </w:r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33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11" w:hanging="360"/>
        <w:tabs>
          <w:tab w:val="num" w:pos="-218" w:leader="none"/>
        </w:tabs>
      </w:pPr>
      <w:rPr>
        <w:rFonts w:ascii="Symbol" w:hAnsi="Symbol" w:cs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 w:cs="Courier New"/>
      </w:r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  <w:rPr>
        <w:rFonts w:ascii="Symbol" w:hAnsi="Symbol" w:cs="Symbol"/>
      </w:r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85" w:hanging="1065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0" w:leader="none"/>
        </w:tabs>
      </w:pPr>
      <w:rPr>
        <w:rFonts w:ascii="Symbol" w:hAnsi="Symbol" w:cs="Symbol"/>
        <w:sz w:val="24"/>
        <w:szCs w:val="24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  <w:rPr>
        <w:rFonts w:ascii="Wingdings" w:hAnsi="Wingdings" w:cs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06" w:hanging="360"/>
        <w:tabs>
          <w:tab w:val="num" w:pos="0" w:leader="none"/>
        </w:tabs>
      </w:pPr>
      <w:rPr>
        <w:rFonts w:ascii="Symbol" w:hAnsi="Symbol" w:cs="Symbol"/>
        <w:sz w:val="26"/>
        <w:szCs w:val="26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 w:cs="Courier New"/>
      </w:r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  <w:rPr>
        <w:rFonts w:ascii="Wingdings" w:hAnsi="Wingdings" w:cs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80" w:hanging="360"/>
        <w:tabs>
          <w:tab w:val="num" w:pos="1080" w:leader="none"/>
        </w:tabs>
      </w:pPr>
      <w:rPr>
        <w:rFonts w:ascii="Wingdings" w:hAnsi="Wingdings" w:cs="Symbol"/>
        <w:sz w:val="26"/>
        <w:szCs w:val="26"/>
      </w:rPr>
    </w:lvl>
    <w:lvl w:ilvl="1">
      <w:start w:val="1"/>
      <w:numFmt w:val="bullet"/>
      <w:isLgl w:val="false"/>
      <w:suff w:val="tab"/>
      <w:lvlText w:val="o"/>
      <w:lvlJc w:val="left"/>
      <w:pPr>
        <w:ind w:left="2220" w:hanging="360"/>
        <w:tabs>
          <w:tab w:val="num" w:pos="222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40" w:hanging="360"/>
        <w:tabs>
          <w:tab w:val="num" w:pos="2940" w:leader="none"/>
        </w:tabs>
      </w:pPr>
      <w:rPr>
        <w:rFonts w:ascii="Wingdings" w:hAnsi="Wingdings" w:cs="Symbol"/>
        <w:sz w:val="26"/>
        <w:szCs w:val="26"/>
      </w:rPr>
    </w:lvl>
    <w:lvl w:ilvl="3">
      <w:start w:val="1"/>
      <w:numFmt w:val="bullet"/>
      <w:isLgl w:val="false"/>
      <w:suff w:val="tab"/>
      <w:lvlText w:val=""/>
      <w:lvlJc w:val="left"/>
      <w:pPr>
        <w:ind w:left="3660" w:hanging="360"/>
        <w:tabs>
          <w:tab w:val="num" w:pos="366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80" w:hanging="360"/>
        <w:tabs>
          <w:tab w:val="num" w:pos="438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00" w:hanging="360"/>
        <w:tabs>
          <w:tab w:val="num" w:pos="5100" w:leader="none"/>
        </w:tabs>
      </w:pPr>
      <w:rPr>
        <w:rFonts w:ascii="Wingdings" w:hAnsi="Wingdings" w:cs="Symbol"/>
        <w:sz w:val="26"/>
        <w:szCs w:val="26"/>
      </w:rPr>
    </w:lvl>
    <w:lvl w:ilvl="6">
      <w:start w:val="1"/>
      <w:numFmt w:val="bullet"/>
      <w:isLgl w:val="false"/>
      <w:suff w:val="tab"/>
      <w:lvlText w:val=""/>
      <w:lvlJc w:val="left"/>
      <w:pPr>
        <w:ind w:left="5820" w:hanging="360"/>
        <w:tabs>
          <w:tab w:val="num" w:pos="582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40" w:hanging="360"/>
        <w:tabs>
          <w:tab w:val="num" w:pos="654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60" w:hanging="360"/>
        <w:tabs>
          <w:tab w:val="num" w:pos="7260" w:leader="none"/>
        </w:tabs>
      </w:pPr>
      <w:rPr>
        <w:rFonts w:ascii="Wingdings" w:hAnsi="Wingdings" w:cs="Symbol"/>
        <w:sz w:val="26"/>
        <w:szCs w:val="26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19"/>
  </w:num>
  <w:num w:numId="3">
    <w:abstractNumId w:val="14"/>
  </w:num>
  <w:num w:numId="4">
    <w:abstractNumId w:val="4"/>
  </w:num>
  <w:num w:numId="5">
    <w:abstractNumId w:val="5"/>
  </w:num>
  <w:num w:numId="6">
    <w:abstractNumId w:val="2"/>
  </w:num>
  <w:num w:numId="7">
    <w:abstractNumId w:val="9"/>
  </w:num>
  <w:num w:numId="8">
    <w:abstractNumId w:val="18"/>
  </w:num>
  <w:num w:numId="9">
    <w:abstractNumId w:val="11"/>
  </w:num>
  <w:num w:numId="10">
    <w:abstractNumId w:val="12"/>
  </w:num>
  <w:num w:numId="11">
    <w:abstractNumId w:val="1"/>
  </w:num>
  <w:num w:numId="12">
    <w:abstractNumId w:val="10"/>
  </w:num>
  <w:num w:numId="13">
    <w:abstractNumId w:val="15"/>
  </w:num>
  <w:num w:numId="14">
    <w:abstractNumId w:val="8"/>
  </w:num>
  <w:num w:numId="15">
    <w:abstractNumId w:val="17"/>
  </w:num>
  <w:num w:numId="16">
    <w:abstractNumId w:val="0"/>
  </w:num>
  <w:num w:numId="17">
    <w:abstractNumId w:val="16"/>
  </w:num>
  <w:num w:numId="18">
    <w:abstractNumId w:val="6"/>
  </w:num>
  <w:num w:numId="19">
    <w:abstractNumId w:val="20"/>
  </w:num>
  <w:num w:numId="20">
    <w:abstractNumId w:val="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50">
    <w:name w:val="Plain Table 1"/>
    <w:basedOn w:val="7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23" w:default="1">
    <w:name w:val="Normal"/>
    <w:qFormat/>
    <w:rPr>
      <w:sz w:val="24"/>
      <w:szCs w:val="24"/>
      <w:lang w:eastAsia="ar-SA"/>
    </w:rPr>
  </w:style>
  <w:style w:type="paragraph" w:styleId="724">
    <w:name w:val="Heading 1"/>
    <w:basedOn w:val="723"/>
    <w:next w:val="913"/>
    <w:link w:val="752"/>
    <w:qFormat/>
    <w:pPr>
      <w:ind w:left="432" w:hanging="432"/>
      <w:keepNext/>
      <w:tabs>
        <w:tab w:val="num" w:pos="0" w:leader="none"/>
        <w:tab w:val="left" w:pos="432" w:leader="none"/>
      </w:tabs>
      <w:outlineLvl w:val="0"/>
    </w:pPr>
    <w:rPr>
      <w:color w:val="0000ff"/>
      <w:sz w:val="28"/>
      <w:szCs w:val="28"/>
    </w:rPr>
  </w:style>
  <w:style w:type="paragraph" w:styleId="725">
    <w:name w:val="Heading 2"/>
    <w:basedOn w:val="723"/>
    <w:next w:val="913"/>
    <w:link w:val="753"/>
    <w:qFormat/>
    <w:pPr>
      <w:ind w:left="576" w:hanging="576"/>
      <w:jc w:val="center"/>
      <w:keepNext/>
      <w:tabs>
        <w:tab w:val="num" w:pos="0" w:leader="none"/>
        <w:tab w:val="left" w:pos="576" w:leader="none"/>
      </w:tabs>
      <w:outlineLvl w:val="1"/>
    </w:pPr>
    <w:rPr>
      <w:b/>
      <w:smallCaps/>
      <w:sz w:val="28"/>
      <w:szCs w:val="28"/>
    </w:rPr>
  </w:style>
  <w:style w:type="paragraph" w:styleId="726">
    <w:name w:val="Heading 3"/>
    <w:basedOn w:val="723"/>
    <w:next w:val="913"/>
    <w:link w:val="754"/>
    <w:qFormat/>
    <w:pPr>
      <w:ind w:firstLine="720"/>
      <w:tabs>
        <w:tab w:val="num" w:pos="0" w:leader="none"/>
        <w:tab w:val="left" w:pos="720" w:leader="none"/>
      </w:tabs>
      <w:outlineLvl w:val="2"/>
    </w:pPr>
    <w:rPr>
      <w:b/>
      <w:sz w:val="28"/>
      <w:szCs w:val="28"/>
    </w:rPr>
  </w:style>
  <w:style w:type="paragraph" w:styleId="727">
    <w:name w:val="Heading 4"/>
    <w:basedOn w:val="723"/>
    <w:next w:val="913"/>
    <w:link w:val="755"/>
    <w:qFormat/>
    <w:pPr>
      <w:ind w:left="864" w:hanging="864"/>
      <w:keepNext/>
      <w:tabs>
        <w:tab w:val="num" w:pos="0" w:leader="none"/>
        <w:tab w:val="left" w:pos="864" w:leader="none"/>
      </w:tabs>
      <w:outlineLvl w:val="3"/>
    </w:pPr>
    <w:rPr>
      <w:b/>
      <w:bCs/>
      <w:color w:val="0000ff"/>
      <w:sz w:val="26"/>
      <w:szCs w:val="20"/>
    </w:rPr>
  </w:style>
  <w:style w:type="paragraph" w:styleId="728">
    <w:name w:val="Heading 5"/>
    <w:basedOn w:val="723"/>
    <w:next w:val="913"/>
    <w:link w:val="756"/>
    <w:qFormat/>
    <w:pPr>
      <w:ind w:left="1008" w:hanging="1008"/>
      <w:jc w:val="center"/>
      <w:keepNext/>
      <w:tabs>
        <w:tab w:val="num" w:pos="0" w:leader="none"/>
        <w:tab w:val="left" w:pos="1008" w:leader="none"/>
      </w:tabs>
      <w:outlineLvl w:val="4"/>
    </w:pPr>
    <w:rPr>
      <w:b/>
      <w:bCs/>
      <w:color w:val="0000ff"/>
      <w:sz w:val="26"/>
      <w:szCs w:val="20"/>
    </w:rPr>
  </w:style>
  <w:style w:type="paragraph" w:styleId="729">
    <w:name w:val="Heading 6"/>
    <w:basedOn w:val="723"/>
    <w:next w:val="723"/>
    <w:link w:val="75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0">
    <w:name w:val="Heading 7"/>
    <w:basedOn w:val="723"/>
    <w:next w:val="723"/>
    <w:link w:val="75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1">
    <w:name w:val="Heading 8"/>
    <w:basedOn w:val="723"/>
    <w:next w:val="723"/>
    <w:link w:val="75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2">
    <w:name w:val="Heading 9"/>
    <w:basedOn w:val="723"/>
    <w:next w:val="723"/>
    <w:link w:val="76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3" w:default="1">
    <w:name w:val="Default Paragraph Font"/>
    <w:uiPriority w:val="1"/>
    <w:semiHidden/>
    <w:unhideWhenUsed/>
  </w:style>
  <w:style w:type="table" w:styleId="7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5" w:default="1">
    <w:name w:val="No List"/>
    <w:uiPriority w:val="99"/>
    <w:semiHidden/>
    <w:unhideWhenUsed/>
  </w:style>
  <w:style w:type="character" w:styleId="736" w:customStyle="1">
    <w:name w:val="Heading 1 Char"/>
    <w:basedOn w:val="733"/>
    <w:uiPriority w:val="9"/>
    <w:rPr>
      <w:rFonts w:ascii="Arial" w:hAnsi="Arial" w:eastAsia="Arial" w:cs="Arial"/>
      <w:sz w:val="40"/>
      <w:szCs w:val="40"/>
    </w:rPr>
  </w:style>
  <w:style w:type="character" w:styleId="737" w:customStyle="1">
    <w:name w:val="Heading 2 Char"/>
    <w:basedOn w:val="733"/>
    <w:uiPriority w:val="9"/>
    <w:rPr>
      <w:rFonts w:ascii="Arial" w:hAnsi="Arial" w:eastAsia="Arial" w:cs="Arial"/>
      <w:sz w:val="34"/>
    </w:rPr>
  </w:style>
  <w:style w:type="character" w:styleId="738" w:customStyle="1">
    <w:name w:val="Heading 3 Char"/>
    <w:basedOn w:val="733"/>
    <w:uiPriority w:val="9"/>
    <w:rPr>
      <w:rFonts w:ascii="Arial" w:hAnsi="Arial" w:eastAsia="Arial" w:cs="Arial"/>
      <w:sz w:val="30"/>
      <w:szCs w:val="30"/>
    </w:rPr>
  </w:style>
  <w:style w:type="character" w:styleId="739" w:customStyle="1">
    <w:name w:val="Heading 4 Char"/>
    <w:basedOn w:val="733"/>
    <w:uiPriority w:val="9"/>
    <w:rPr>
      <w:rFonts w:ascii="Arial" w:hAnsi="Arial" w:eastAsia="Arial" w:cs="Arial"/>
      <w:b/>
      <w:bCs/>
      <w:sz w:val="26"/>
      <w:szCs w:val="26"/>
    </w:rPr>
  </w:style>
  <w:style w:type="character" w:styleId="740" w:customStyle="1">
    <w:name w:val="Heading 5 Char"/>
    <w:basedOn w:val="733"/>
    <w:uiPriority w:val="9"/>
    <w:rPr>
      <w:rFonts w:ascii="Arial" w:hAnsi="Arial" w:eastAsia="Arial" w:cs="Arial"/>
      <w:b/>
      <w:bCs/>
      <w:sz w:val="24"/>
      <w:szCs w:val="24"/>
    </w:rPr>
  </w:style>
  <w:style w:type="character" w:styleId="741" w:customStyle="1">
    <w:name w:val="Heading 6 Char"/>
    <w:basedOn w:val="733"/>
    <w:uiPriority w:val="9"/>
    <w:rPr>
      <w:rFonts w:ascii="Arial" w:hAnsi="Arial" w:eastAsia="Arial" w:cs="Arial"/>
      <w:b/>
      <w:bCs/>
      <w:sz w:val="22"/>
      <w:szCs w:val="22"/>
    </w:rPr>
  </w:style>
  <w:style w:type="character" w:styleId="742" w:customStyle="1">
    <w:name w:val="Heading 7 Char"/>
    <w:basedOn w:val="73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3" w:customStyle="1">
    <w:name w:val="Heading 8 Char"/>
    <w:basedOn w:val="733"/>
    <w:uiPriority w:val="9"/>
    <w:rPr>
      <w:rFonts w:ascii="Arial" w:hAnsi="Arial" w:eastAsia="Arial" w:cs="Arial"/>
      <w:i/>
      <w:iCs/>
      <w:sz w:val="22"/>
      <w:szCs w:val="22"/>
    </w:rPr>
  </w:style>
  <w:style w:type="character" w:styleId="744" w:customStyle="1">
    <w:name w:val="Heading 9 Char"/>
    <w:basedOn w:val="733"/>
    <w:uiPriority w:val="9"/>
    <w:rPr>
      <w:rFonts w:ascii="Arial" w:hAnsi="Arial" w:eastAsia="Arial" w:cs="Arial"/>
      <w:i/>
      <w:iCs/>
      <w:sz w:val="21"/>
      <w:szCs w:val="21"/>
    </w:rPr>
  </w:style>
  <w:style w:type="character" w:styleId="745" w:customStyle="1">
    <w:name w:val="Title Char"/>
    <w:basedOn w:val="733"/>
    <w:uiPriority w:val="10"/>
    <w:rPr>
      <w:sz w:val="48"/>
      <w:szCs w:val="48"/>
    </w:rPr>
  </w:style>
  <w:style w:type="character" w:styleId="746" w:customStyle="1">
    <w:name w:val="Subtitle Char"/>
    <w:basedOn w:val="733"/>
    <w:uiPriority w:val="11"/>
    <w:rPr>
      <w:sz w:val="24"/>
      <w:szCs w:val="24"/>
    </w:rPr>
  </w:style>
  <w:style w:type="character" w:styleId="747" w:customStyle="1">
    <w:name w:val="Quote Char"/>
    <w:uiPriority w:val="29"/>
    <w:rPr>
      <w:i/>
    </w:rPr>
  </w:style>
  <w:style w:type="character" w:styleId="748" w:customStyle="1">
    <w:name w:val="Intense Quote Char"/>
    <w:uiPriority w:val="30"/>
    <w:rPr>
      <w:i/>
    </w:rPr>
  </w:style>
  <w:style w:type="character" w:styleId="749" w:customStyle="1">
    <w:name w:val="Footer Char"/>
    <w:basedOn w:val="733"/>
    <w:uiPriority w:val="99"/>
  </w:style>
  <w:style w:type="character" w:styleId="750" w:customStyle="1">
    <w:name w:val="Caption Char"/>
    <w:basedOn w:val="733"/>
    <w:uiPriority w:val="35"/>
    <w:rPr>
      <w:b/>
      <w:bCs/>
      <w:color w:val="4f81bd" w:themeColor="accent1"/>
      <w:sz w:val="18"/>
      <w:szCs w:val="18"/>
    </w:rPr>
  </w:style>
  <w:style w:type="character" w:styleId="751" w:customStyle="1">
    <w:name w:val="Endnote Text Char"/>
    <w:uiPriority w:val="99"/>
    <w:rPr>
      <w:sz w:val="20"/>
    </w:rPr>
  </w:style>
  <w:style w:type="character" w:styleId="752" w:customStyle="1">
    <w:name w:val="Заголовок 1 Знак"/>
    <w:basedOn w:val="733"/>
    <w:link w:val="724"/>
    <w:uiPriority w:val="9"/>
    <w:rPr>
      <w:rFonts w:ascii="Arial" w:hAnsi="Arial" w:eastAsia="Arial" w:cs="Arial"/>
      <w:sz w:val="40"/>
      <w:szCs w:val="40"/>
    </w:rPr>
  </w:style>
  <w:style w:type="character" w:styleId="753" w:customStyle="1">
    <w:name w:val="Заголовок 2 Знак"/>
    <w:basedOn w:val="733"/>
    <w:link w:val="725"/>
    <w:uiPriority w:val="9"/>
    <w:rPr>
      <w:rFonts w:ascii="Arial" w:hAnsi="Arial" w:eastAsia="Arial" w:cs="Arial"/>
      <w:sz w:val="34"/>
    </w:rPr>
  </w:style>
  <w:style w:type="character" w:styleId="754" w:customStyle="1">
    <w:name w:val="Заголовок 3 Знак1"/>
    <w:basedOn w:val="733"/>
    <w:link w:val="726"/>
    <w:uiPriority w:val="9"/>
    <w:rPr>
      <w:rFonts w:ascii="Arial" w:hAnsi="Arial" w:eastAsia="Arial" w:cs="Arial"/>
      <w:sz w:val="30"/>
      <w:szCs w:val="30"/>
    </w:rPr>
  </w:style>
  <w:style w:type="character" w:styleId="755" w:customStyle="1">
    <w:name w:val="Заголовок 4 Знак"/>
    <w:basedOn w:val="733"/>
    <w:link w:val="727"/>
    <w:uiPriority w:val="9"/>
    <w:rPr>
      <w:rFonts w:ascii="Arial" w:hAnsi="Arial" w:eastAsia="Arial" w:cs="Arial"/>
      <w:b/>
      <w:bCs/>
      <w:sz w:val="26"/>
      <w:szCs w:val="26"/>
    </w:rPr>
  </w:style>
  <w:style w:type="character" w:styleId="756" w:customStyle="1">
    <w:name w:val="Заголовок 5 Знак"/>
    <w:basedOn w:val="733"/>
    <w:link w:val="728"/>
    <w:uiPriority w:val="9"/>
    <w:rPr>
      <w:rFonts w:ascii="Arial" w:hAnsi="Arial" w:eastAsia="Arial" w:cs="Arial"/>
      <w:b/>
      <w:bCs/>
      <w:sz w:val="24"/>
      <w:szCs w:val="24"/>
    </w:rPr>
  </w:style>
  <w:style w:type="character" w:styleId="757" w:customStyle="1">
    <w:name w:val="Заголовок 6 Знак"/>
    <w:basedOn w:val="733"/>
    <w:link w:val="729"/>
    <w:uiPriority w:val="9"/>
    <w:rPr>
      <w:rFonts w:ascii="Arial" w:hAnsi="Arial" w:eastAsia="Arial" w:cs="Arial"/>
      <w:b/>
      <w:bCs/>
      <w:sz w:val="22"/>
      <w:szCs w:val="22"/>
    </w:rPr>
  </w:style>
  <w:style w:type="character" w:styleId="758" w:customStyle="1">
    <w:name w:val="Заголовок 7 Знак"/>
    <w:basedOn w:val="733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9" w:customStyle="1">
    <w:name w:val="Заголовок 8 Знак"/>
    <w:basedOn w:val="733"/>
    <w:link w:val="731"/>
    <w:uiPriority w:val="9"/>
    <w:rPr>
      <w:rFonts w:ascii="Arial" w:hAnsi="Arial" w:eastAsia="Arial" w:cs="Arial"/>
      <w:i/>
      <w:iCs/>
      <w:sz w:val="22"/>
      <w:szCs w:val="22"/>
    </w:rPr>
  </w:style>
  <w:style w:type="character" w:styleId="760" w:customStyle="1">
    <w:name w:val="Заголовок 9 Знак"/>
    <w:basedOn w:val="733"/>
    <w:link w:val="732"/>
    <w:uiPriority w:val="9"/>
    <w:rPr>
      <w:rFonts w:ascii="Arial" w:hAnsi="Arial" w:eastAsia="Arial" w:cs="Arial"/>
      <w:i/>
      <w:iCs/>
      <w:sz w:val="21"/>
      <w:szCs w:val="21"/>
    </w:rPr>
  </w:style>
  <w:style w:type="paragraph" w:styleId="761">
    <w:name w:val="No Spacing"/>
    <w:uiPriority w:val="1"/>
    <w:qFormat/>
  </w:style>
  <w:style w:type="character" w:styleId="762" w:customStyle="1">
    <w:name w:val="Заголовок Знак"/>
    <w:basedOn w:val="733"/>
    <w:link w:val="1168"/>
    <w:uiPriority w:val="10"/>
    <w:rPr>
      <w:sz w:val="48"/>
      <w:szCs w:val="48"/>
    </w:rPr>
  </w:style>
  <w:style w:type="character" w:styleId="763" w:customStyle="1">
    <w:name w:val="Подзаголовок Знак"/>
    <w:basedOn w:val="733"/>
    <w:link w:val="1169"/>
    <w:uiPriority w:val="11"/>
    <w:rPr>
      <w:sz w:val="24"/>
      <w:szCs w:val="24"/>
    </w:rPr>
  </w:style>
  <w:style w:type="paragraph" w:styleId="764">
    <w:name w:val="Quote"/>
    <w:basedOn w:val="723"/>
    <w:next w:val="723"/>
    <w:link w:val="765"/>
    <w:uiPriority w:val="29"/>
    <w:qFormat/>
    <w:pPr>
      <w:ind w:left="720" w:right="720"/>
    </w:pPr>
    <w:rPr>
      <w:i/>
    </w:rPr>
  </w:style>
  <w:style w:type="character" w:styleId="765" w:customStyle="1">
    <w:name w:val="Цитата 2 Знак"/>
    <w:link w:val="764"/>
    <w:uiPriority w:val="29"/>
    <w:rPr>
      <w:i/>
    </w:rPr>
  </w:style>
  <w:style w:type="paragraph" w:styleId="766">
    <w:name w:val="Intense Quote"/>
    <w:basedOn w:val="723"/>
    <w:next w:val="723"/>
    <w:link w:val="76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7" w:customStyle="1">
    <w:name w:val="Выделенная цитата Знак"/>
    <w:link w:val="766"/>
    <w:uiPriority w:val="30"/>
    <w:rPr>
      <w:i/>
    </w:rPr>
  </w:style>
  <w:style w:type="character" w:styleId="768" w:customStyle="1">
    <w:name w:val="Header Char"/>
    <w:basedOn w:val="733"/>
    <w:uiPriority w:val="99"/>
  </w:style>
  <w:style w:type="character" w:styleId="769" w:customStyle="1">
    <w:name w:val="Нижний колонтитул Знак"/>
    <w:basedOn w:val="733"/>
    <w:link w:val="1161"/>
    <w:uiPriority w:val="99"/>
  </w:style>
  <w:style w:type="paragraph" w:styleId="770">
    <w:name w:val="Caption"/>
    <w:basedOn w:val="723"/>
    <w:next w:val="723"/>
    <w:link w:val="7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1" w:customStyle="1">
    <w:name w:val="Название объекта Знак"/>
    <w:basedOn w:val="733"/>
    <w:link w:val="770"/>
    <w:uiPriority w:val="35"/>
    <w:rPr>
      <w:b/>
      <w:bCs/>
      <w:color w:val="4f81bd" w:themeColor="accent1"/>
      <w:sz w:val="18"/>
      <w:szCs w:val="18"/>
    </w:rPr>
  </w:style>
  <w:style w:type="table" w:styleId="772" w:customStyle="1">
    <w:name w:val="Table Grid Light"/>
    <w:basedOn w:val="73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73" w:customStyle="1">
    <w:name w:val="Таблица простая 11"/>
    <w:basedOn w:val="73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 w:customStyle="1">
    <w:name w:val="Таблица простая 21"/>
    <w:basedOn w:val="73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 w:customStyle="1">
    <w:name w:val="Таблица простая 31"/>
    <w:basedOn w:val="73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 w:customStyle="1">
    <w:name w:val="Таблица простая 41"/>
    <w:basedOn w:val="73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Таблица простая 51"/>
    <w:basedOn w:val="73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 w:customStyle="1">
    <w:name w:val="Таблица-сетка 1 светлая1"/>
    <w:basedOn w:val="73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1"/>
    <w:basedOn w:val="73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2"/>
    <w:basedOn w:val="73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3"/>
    <w:basedOn w:val="73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4"/>
    <w:basedOn w:val="73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5"/>
    <w:basedOn w:val="73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6"/>
    <w:basedOn w:val="73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Таблица-сетка 21"/>
    <w:basedOn w:val="73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1"/>
    <w:basedOn w:val="73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2"/>
    <w:basedOn w:val="73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3"/>
    <w:basedOn w:val="73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4"/>
    <w:basedOn w:val="73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5"/>
    <w:basedOn w:val="73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6"/>
    <w:basedOn w:val="73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Таблица-сетка 31"/>
    <w:basedOn w:val="73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1"/>
    <w:basedOn w:val="73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2"/>
    <w:basedOn w:val="73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3"/>
    <w:basedOn w:val="73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4"/>
    <w:basedOn w:val="73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5"/>
    <w:basedOn w:val="73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6"/>
    <w:basedOn w:val="73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Таблица-сетка 41"/>
    <w:basedOn w:val="73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 w:customStyle="1">
    <w:name w:val="Grid Table 4 - Accent 1"/>
    <w:basedOn w:val="734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01" w:customStyle="1">
    <w:name w:val="Grid Table 4 - Accent 2"/>
    <w:basedOn w:val="734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2" w:customStyle="1">
    <w:name w:val="Grid Table 4 - Accent 3"/>
    <w:basedOn w:val="734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3" w:customStyle="1">
    <w:name w:val="Grid Table 4 - Accent 4"/>
    <w:basedOn w:val="73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4" w:customStyle="1">
    <w:name w:val="Grid Table 4 - Accent 5"/>
    <w:basedOn w:val="734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5" w:customStyle="1">
    <w:name w:val="Grid Table 4 - Accent 6"/>
    <w:basedOn w:val="734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6" w:customStyle="1">
    <w:name w:val="Таблица-сетка 5 темная1"/>
    <w:basedOn w:val="73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- Accent 1"/>
    <w:basedOn w:val="73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2"/>
    <w:basedOn w:val="73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 - Accent 3"/>
    <w:basedOn w:val="73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- Accent 4"/>
    <w:basedOn w:val="73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 - Accent 5"/>
    <w:basedOn w:val="73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 - Accent 6"/>
    <w:basedOn w:val="73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3" w:customStyle="1">
    <w:name w:val="Таблица-сетка 6 цветная1"/>
    <w:basedOn w:val="73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4" w:customStyle="1">
    <w:name w:val="Grid Table 6 Colorful - Accent 1"/>
    <w:basedOn w:val="734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5" w:customStyle="1">
    <w:name w:val="Grid Table 6 Colorful - Accent 2"/>
    <w:basedOn w:val="73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6" w:customStyle="1">
    <w:name w:val="Grid Table 6 Colorful - Accent 3"/>
    <w:basedOn w:val="734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7" w:customStyle="1">
    <w:name w:val="Grid Table 6 Colorful - Accent 4"/>
    <w:basedOn w:val="73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8" w:customStyle="1">
    <w:name w:val="Grid Table 6 Colorful - Accent 5"/>
    <w:basedOn w:val="734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9" w:customStyle="1">
    <w:name w:val="Grid Table 6 Colorful - Accent 6"/>
    <w:basedOn w:val="734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0" w:customStyle="1">
    <w:name w:val="Таблица-сетка 7 цветная1"/>
    <w:basedOn w:val="73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1" w:customStyle="1">
    <w:name w:val="Grid Table 7 Colorful - Accent 1"/>
    <w:basedOn w:val="734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2" w:customStyle="1">
    <w:name w:val="Grid Table 7 Colorful - Accent 2"/>
    <w:basedOn w:val="734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 w:customStyle="1">
    <w:name w:val="Grid Table 7 Colorful - Accent 3"/>
    <w:basedOn w:val="734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4" w:customStyle="1">
    <w:name w:val="Grid Table 7 Colorful - Accent 4"/>
    <w:basedOn w:val="73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Grid Table 7 Colorful - Accent 5"/>
    <w:basedOn w:val="734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Grid Table 7 Colorful - Accent 6"/>
    <w:basedOn w:val="734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Список-таблица 1 светлая1"/>
    <w:basedOn w:val="73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1"/>
    <w:basedOn w:val="734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2"/>
    <w:basedOn w:val="734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3"/>
    <w:basedOn w:val="734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4"/>
    <w:basedOn w:val="734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5"/>
    <w:basedOn w:val="734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6"/>
    <w:basedOn w:val="734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Список-таблица 21"/>
    <w:basedOn w:val="73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1"/>
    <w:basedOn w:val="734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2"/>
    <w:basedOn w:val="734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3"/>
    <w:basedOn w:val="734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8" w:customStyle="1">
    <w:name w:val="List Table 2 - Accent 4"/>
    <w:basedOn w:val="73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5"/>
    <w:basedOn w:val="734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40" w:customStyle="1">
    <w:name w:val="List Table 2 - Accent 6"/>
    <w:basedOn w:val="734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41" w:customStyle="1">
    <w:name w:val="Список-таблица 31"/>
    <w:basedOn w:val="73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1"/>
    <w:basedOn w:val="734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2"/>
    <w:basedOn w:val="73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3"/>
    <w:basedOn w:val="734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4"/>
    <w:basedOn w:val="73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5"/>
    <w:basedOn w:val="734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6"/>
    <w:basedOn w:val="734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Список-таблица 41"/>
    <w:basedOn w:val="73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1"/>
    <w:basedOn w:val="734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2"/>
    <w:basedOn w:val="734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3"/>
    <w:basedOn w:val="734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4"/>
    <w:basedOn w:val="73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5"/>
    <w:basedOn w:val="734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6"/>
    <w:basedOn w:val="734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Список-таблица 5 темная1"/>
    <w:basedOn w:val="73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1"/>
    <w:basedOn w:val="734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2"/>
    <w:basedOn w:val="734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3"/>
    <w:basedOn w:val="734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4"/>
    <w:basedOn w:val="73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5"/>
    <w:basedOn w:val="734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List Table 5 Dark - Accent 6"/>
    <w:basedOn w:val="734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Список-таблица 6 цветная1"/>
    <w:basedOn w:val="73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3" w:customStyle="1">
    <w:name w:val="List Table 6 Colorful - Accent 1"/>
    <w:basedOn w:val="734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4" w:customStyle="1">
    <w:name w:val="List Table 6 Colorful - Accent 2"/>
    <w:basedOn w:val="734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5" w:customStyle="1">
    <w:name w:val="List Table 6 Colorful - Accent 3"/>
    <w:basedOn w:val="734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6" w:customStyle="1">
    <w:name w:val="List Table 6 Colorful - Accent 4"/>
    <w:basedOn w:val="73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7" w:customStyle="1">
    <w:name w:val="List Table 6 Colorful - Accent 5"/>
    <w:basedOn w:val="734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8" w:customStyle="1">
    <w:name w:val="List Table 6 Colorful - Accent 6"/>
    <w:basedOn w:val="734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9" w:customStyle="1">
    <w:name w:val="Список-таблица 7 цветная1"/>
    <w:basedOn w:val="73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0" w:customStyle="1">
    <w:name w:val="List Table 7 Colorful - Accent 1"/>
    <w:basedOn w:val="734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1" w:customStyle="1">
    <w:name w:val="List Table 7 Colorful - Accent 2"/>
    <w:basedOn w:val="734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2" w:customStyle="1">
    <w:name w:val="List Table 7 Colorful - Accent 3"/>
    <w:basedOn w:val="734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3" w:customStyle="1">
    <w:name w:val="List Table 7 Colorful - Accent 4"/>
    <w:basedOn w:val="73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4" w:customStyle="1">
    <w:name w:val="List Table 7 Colorful - Accent 5"/>
    <w:basedOn w:val="734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5" w:customStyle="1">
    <w:name w:val="List Table 7 Colorful - Accent 6"/>
    <w:basedOn w:val="734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6" w:customStyle="1">
    <w:name w:val="Lined - Accent"/>
    <w:basedOn w:val="73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7" w:customStyle="1">
    <w:name w:val="Lined - Accent 1"/>
    <w:basedOn w:val="73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8" w:customStyle="1">
    <w:name w:val="Lined - Accent 2"/>
    <w:basedOn w:val="73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9" w:customStyle="1">
    <w:name w:val="Lined - Accent 3"/>
    <w:basedOn w:val="73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0" w:customStyle="1">
    <w:name w:val="Lined - Accent 4"/>
    <w:basedOn w:val="73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1" w:customStyle="1">
    <w:name w:val="Lined - Accent 5"/>
    <w:basedOn w:val="73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2" w:customStyle="1">
    <w:name w:val="Lined - Accent 6"/>
    <w:basedOn w:val="73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3" w:customStyle="1">
    <w:name w:val="Bordered &amp; Lined - Accent"/>
    <w:basedOn w:val="734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4" w:customStyle="1">
    <w:name w:val="Bordered &amp; Lined - Accent 1"/>
    <w:basedOn w:val="734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5" w:customStyle="1">
    <w:name w:val="Bordered &amp; Lined - Accent 2"/>
    <w:basedOn w:val="734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6" w:customStyle="1">
    <w:name w:val="Bordered &amp; Lined - Accent 3"/>
    <w:basedOn w:val="734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7" w:customStyle="1">
    <w:name w:val="Bordered &amp; Lined - Accent 4"/>
    <w:basedOn w:val="734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8" w:customStyle="1">
    <w:name w:val="Bordered &amp; Lined - Accent 5"/>
    <w:basedOn w:val="734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9" w:customStyle="1">
    <w:name w:val="Bordered &amp; Lined - Accent 6"/>
    <w:basedOn w:val="734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0" w:customStyle="1">
    <w:name w:val="Bordered"/>
    <w:basedOn w:val="73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1" w:customStyle="1">
    <w:name w:val="Bordered - Accent 1"/>
    <w:basedOn w:val="73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2" w:customStyle="1">
    <w:name w:val="Bordered - Accent 2"/>
    <w:basedOn w:val="73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3" w:customStyle="1">
    <w:name w:val="Bordered - Accent 3"/>
    <w:basedOn w:val="73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4" w:customStyle="1">
    <w:name w:val="Bordered - Accent 4"/>
    <w:basedOn w:val="73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5" w:customStyle="1">
    <w:name w:val="Bordered - Accent 5"/>
    <w:basedOn w:val="73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6" w:customStyle="1">
    <w:name w:val="Bordered - Accent 6"/>
    <w:basedOn w:val="73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7" w:customStyle="1">
    <w:name w:val="Footnote Text Char"/>
    <w:uiPriority w:val="99"/>
    <w:rPr>
      <w:sz w:val="18"/>
    </w:rPr>
  </w:style>
  <w:style w:type="character" w:styleId="898">
    <w:name w:val="footnote reference"/>
    <w:basedOn w:val="733"/>
    <w:uiPriority w:val="99"/>
    <w:unhideWhenUsed/>
    <w:rPr>
      <w:vertAlign w:val="superscript"/>
    </w:rPr>
  </w:style>
  <w:style w:type="paragraph" w:styleId="899">
    <w:name w:val="endnote text"/>
    <w:basedOn w:val="723"/>
    <w:link w:val="900"/>
    <w:uiPriority w:val="99"/>
    <w:semiHidden/>
    <w:unhideWhenUsed/>
    <w:rPr>
      <w:sz w:val="20"/>
    </w:rPr>
  </w:style>
  <w:style w:type="character" w:styleId="900" w:customStyle="1">
    <w:name w:val="Текст концевой сноски Знак"/>
    <w:link w:val="899"/>
    <w:uiPriority w:val="99"/>
    <w:rPr>
      <w:sz w:val="20"/>
    </w:rPr>
  </w:style>
  <w:style w:type="character" w:styleId="901">
    <w:name w:val="endnote reference"/>
    <w:basedOn w:val="733"/>
    <w:uiPriority w:val="99"/>
    <w:semiHidden/>
    <w:unhideWhenUsed/>
    <w:rPr>
      <w:vertAlign w:val="superscript"/>
    </w:rPr>
  </w:style>
  <w:style w:type="paragraph" w:styleId="902">
    <w:name w:val="toc 1"/>
    <w:basedOn w:val="723"/>
    <w:next w:val="723"/>
    <w:uiPriority w:val="39"/>
    <w:unhideWhenUsed/>
    <w:pPr>
      <w:spacing w:after="57"/>
    </w:pPr>
  </w:style>
  <w:style w:type="paragraph" w:styleId="903">
    <w:name w:val="toc 2"/>
    <w:basedOn w:val="723"/>
    <w:next w:val="723"/>
    <w:uiPriority w:val="39"/>
    <w:unhideWhenUsed/>
    <w:pPr>
      <w:ind w:left="283"/>
      <w:spacing w:after="57"/>
    </w:pPr>
  </w:style>
  <w:style w:type="paragraph" w:styleId="904">
    <w:name w:val="toc 3"/>
    <w:basedOn w:val="723"/>
    <w:next w:val="723"/>
    <w:uiPriority w:val="39"/>
    <w:unhideWhenUsed/>
    <w:pPr>
      <w:ind w:left="567"/>
      <w:spacing w:after="57"/>
    </w:pPr>
  </w:style>
  <w:style w:type="paragraph" w:styleId="905">
    <w:name w:val="toc 4"/>
    <w:basedOn w:val="723"/>
    <w:next w:val="723"/>
    <w:uiPriority w:val="39"/>
    <w:unhideWhenUsed/>
    <w:pPr>
      <w:ind w:left="850"/>
      <w:spacing w:after="57"/>
    </w:pPr>
  </w:style>
  <w:style w:type="paragraph" w:styleId="906">
    <w:name w:val="toc 5"/>
    <w:basedOn w:val="723"/>
    <w:next w:val="723"/>
    <w:uiPriority w:val="39"/>
    <w:unhideWhenUsed/>
    <w:pPr>
      <w:ind w:left="1134"/>
      <w:spacing w:after="57"/>
    </w:pPr>
  </w:style>
  <w:style w:type="paragraph" w:styleId="907">
    <w:name w:val="toc 6"/>
    <w:basedOn w:val="723"/>
    <w:next w:val="723"/>
    <w:uiPriority w:val="39"/>
    <w:unhideWhenUsed/>
    <w:pPr>
      <w:ind w:left="1417"/>
      <w:spacing w:after="57"/>
    </w:pPr>
  </w:style>
  <w:style w:type="paragraph" w:styleId="908">
    <w:name w:val="toc 7"/>
    <w:basedOn w:val="723"/>
    <w:next w:val="723"/>
    <w:uiPriority w:val="39"/>
    <w:unhideWhenUsed/>
    <w:pPr>
      <w:ind w:left="1701"/>
      <w:spacing w:after="57"/>
    </w:pPr>
  </w:style>
  <w:style w:type="paragraph" w:styleId="909">
    <w:name w:val="toc 8"/>
    <w:basedOn w:val="723"/>
    <w:next w:val="723"/>
    <w:uiPriority w:val="39"/>
    <w:unhideWhenUsed/>
    <w:pPr>
      <w:ind w:left="1984"/>
      <w:spacing w:after="57"/>
    </w:pPr>
  </w:style>
  <w:style w:type="paragraph" w:styleId="910">
    <w:name w:val="toc 9"/>
    <w:basedOn w:val="723"/>
    <w:next w:val="723"/>
    <w:uiPriority w:val="39"/>
    <w:unhideWhenUsed/>
    <w:pPr>
      <w:ind w:left="2268"/>
      <w:spacing w:after="57"/>
    </w:pPr>
  </w:style>
  <w:style w:type="paragraph" w:styleId="911">
    <w:name w:val="TOC Heading"/>
    <w:uiPriority w:val="39"/>
    <w:unhideWhenUsed/>
  </w:style>
  <w:style w:type="paragraph" w:styleId="912">
    <w:name w:val="table of figures"/>
    <w:basedOn w:val="723"/>
    <w:next w:val="723"/>
    <w:uiPriority w:val="99"/>
    <w:unhideWhenUsed/>
  </w:style>
  <w:style w:type="paragraph" w:styleId="913">
    <w:name w:val="Body Text"/>
    <w:basedOn w:val="723"/>
    <w:pPr>
      <w:spacing w:after="120"/>
    </w:pPr>
    <w:rPr>
      <w:sz w:val="20"/>
      <w:szCs w:val="20"/>
    </w:rPr>
  </w:style>
  <w:style w:type="character" w:styleId="914" w:customStyle="1">
    <w:name w:val="WW8Num1z0"/>
  </w:style>
  <w:style w:type="character" w:styleId="915" w:customStyle="1">
    <w:name w:val="WW8Num1z1"/>
  </w:style>
  <w:style w:type="character" w:styleId="916" w:customStyle="1">
    <w:name w:val="WW8Num1z2"/>
  </w:style>
  <w:style w:type="character" w:styleId="917" w:customStyle="1">
    <w:name w:val="WW8Num1z3"/>
  </w:style>
  <w:style w:type="character" w:styleId="918" w:customStyle="1">
    <w:name w:val="WW8Num1z4"/>
  </w:style>
  <w:style w:type="character" w:styleId="919" w:customStyle="1">
    <w:name w:val="WW8Num1z5"/>
  </w:style>
  <w:style w:type="character" w:styleId="920" w:customStyle="1">
    <w:name w:val="WW8Num1z6"/>
  </w:style>
  <w:style w:type="character" w:styleId="921" w:customStyle="1">
    <w:name w:val="WW8Num1z7"/>
  </w:style>
  <w:style w:type="character" w:styleId="922" w:customStyle="1">
    <w:name w:val="WW8Num1z8"/>
  </w:style>
  <w:style w:type="character" w:styleId="923" w:customStyle="1">
    <w:name w:val="WW8Num2z0"/>
    <w:rPr>
      <w:rFonts w:ascii="Wingdings" w:hAnsi="Wingdings" w:cs="Wingdings"/>
    </w:rPr>
  </w:style>
  <w:style w:type="character" w:styleId="924" w:customStyle="1">
    <w:name w:val="WW8Num2z1"/>
    <w:rPr>
      <w:rFonts w:ascii="Courier New" w:hAnsi="Courier New" w:cs="Courier New"/>
    </w:rPr>
  </w:style>
  <w:style w:type="character" w:styleId="925" w:customStyle="1">
    <w:name w:val="WW8Num2z2"/>
  </w:style>
  <w:style w:type="character" w:styleId="926" w:customStyle="1">
    <w:name w:val="WW8Num2z3"/>
    <w:rPr>
      <w:rFonts w:ascii="Symbol" w:hAnsi="Symbol" w:cs="Symbol"/>
    </w:rPr>
  </w:style>
  <w:style w:type="character" w:styleId="927" w:customStyle="1">
    <w:name w:val="WW8Num2z4"/>
  </w:style>
  <w:style w:type="character" w:styleId="928" w:customStyle="1">
    <w:name w:val="WW8Num2z5"/>
  </w:style>
  <w:style w:type="character" w:styleId="929" w:customStyle="1">
    <w:name w:val="WW8Num2z6"/>
  </w:style>
  <w:style w:type="character" w:styleId="930" w:customStyle="1">
    <w:name w:val="WW8Num2z7"/>
  </w:style>
  <w:style w:type="character" w:styleId="931" w:customStyle="1">
    <w:name w:val="WW8Num2z8"/>
  </w:style>
  <w:style w:type="character" w:styleId="932" w:customStyle="1">
    <w:name w:val="WW8Num3z0"/>
    <w:rPr>
      <w:rFonts w:ascii="Times New Roman" w:hAnsi="Times New Roman" w:cs="Times New Roman"/>
      <w:color w:val="000000"/>
      <w:sz w:val="26"/>
      <w:szCs w:val="26"/>
    </w:rPr>
  </w:style>
  <w:style w:type="character" w:styleId="933" w:customStyle="1">
    <w:name w:val="WW8Num3z1"/>
  </w:style>
  <w:style w:type="character" w:styleId="934" w:customStyle="1">
    <w:name w:val="WW8Num3z2"/>
  </w:style>
  <w:style w:type="character" w:styleId="935" w:customStyle="1">
    <w:name w:val="WW8Num3z3"/>
  </w:style>
  <w:style w:type="character" w:styleId="936" w:customStyle="1">
    <w:name w:val="WW8Num3z4"/>
  </w:style>
  <w:style w:type="character" w:styleId="937" w:customStyle="1">
    <w:name w:val="WW8Num3z5"/>
  </w:style>
  <w:style w:type="character" w:styleId="938" w:customStyle="1">
    <w:name w:val="WW8Num3z6"/>
  </w:style>
  <w:style w:type="character" w:styleId="939" w:customStyle="1">
    <w:name w:val="WW8Num3z7"/>
  </w:style>
  <w:style w:type="character" w:styleId="940" w:customStyle="1">
    <w:name w:val="WW8Num3z8"/>
  </w:style>
  <w:style w:type="character" w:styleId="941" w:customStyle="1">
    <w:name w:val="WW8Num4z0"/>
    <w:rPr>
      <w:rFonts w:ascii="Symbol" w:hAnsi="Symbol" w:cs="Symbol"/>
      <w:sz w:val="26"/>
      <w:szCs w:val="26"/>
    </w:rPr>
  </w:style>
  <w:style w:type="character" w:styleId="942" w:customStyle="1">
    <w:name w:val="WW8Num4z2"/>
    <w:rPr>
      <w:rFonts w:ascii="Wingdings" w:hAnsi="Wingdings" w:cs="Wingdings"/>
    </w:rPr>
  </w:style>
  <w:style w:type="character" w:styleId="943" w:customStyle="1">
    <w:name w:val="WW8Num4z4"/>
    <w:rPr>
      <w:rFonts w:ascii="Courier New" w:hAnsi="Courier New" w:cs="Courier New"/>
    </w:rPr>
  </w:style>
  <w:style w:type="character" w:styleId="944" w:customStyle="1">
    <w:name w:val="WW8Num5z0"/>
    <w:rPr>
      <w:rFonts w:ascii="Wingdings" w:hAnsi="Wingdings" w:cs="Wingdings"/>
      <w:sz w:val="26"/>
      <w:szCs w:val="26"/>
    </w:rPr>
  </w:style>
  <w:style w:type="character" w:styleId="945" w:customStyle="1">
    <w:name w:val="WW8Num5z1"/>
    <w:rPr>
      <w:rFonts w:ascii="Courier New" w:hAnsi="Courier New" w:cs="Courier New"/>
    </w:rPr>
  </w:style>
  <w:style w:type="character" w:styleId="946" w:customStyle="1">
    <w:name w:val="WW8Num5z2"/>
  </w:style>
  <w:style w:type="character" w:styleId="947" w:customStyle="1">
    <w:name w:val="WW8Num5z3"/>
    <w:rPr>
      <w:rFonts w:ascii="Symbol" w:hAnsi="Symbol" w:cs="Symbol"/>
    </w:rPr>
  </w:style>
  <w:style w:type="character" w:styleId="948" w:customStyle="1">
    <w:name w:val="WW8Num5z4"/>
  </w:style>
  <w:style w:type="character" w:styleId="949" w:customStyle="1">
    <w:name w:val="WW8Num5z5"/>
  </w:style>
  <w:style w:type="character" w:styleId="950" w:customStyle="1">
    <w:name w:val="WW8Num5z6"/>
  </w:style>
  <w:style w:type="character" w:styleId="951" w:customStyle="1">
    <w:name w:val="WW8Num5z7"/>
  </w:style>
  <w:style w:type="character" w:styleId="952" w:customStyle="1">
    <w:name w:val="WW8Num5z8"/>
  </w:style>
  <w:style w:type="character" w:styleId="953" w:customStyle="1">
    <w:name w:val="WW8Num6z0"/>
    <w:rPr>
      <w:rFonts w:ascii="Symbol" w:hAnsi="Symbol" w:cs="Symbol"/>
      <w:sz w:val="26"/>
      <w:szCs w:val="26"/>
    </w:rPr>
  </w:style>
  <w:style w:type="character" w:styleId="954" w:customStyle="1">
    <w:name w:val="WW8Num6z1"/>
    <w:rPr>
      <w:rFonts w:ascii="Courier New" w:hAnsi="Courier New" w:cs="Courier New"/>
    </w:rPr>
  </w:style>
  <w:style w:type="character" w:styleId="955" w:customStyle="1">
    <w:name w:val="WW8Num6z2"/>
    <w:rPr>
      <w:rFonts w:ascii="Wingdings" w:hAnsi="Wingdings" w:cs="Wingdings"/>
    </w:rPr>
  </w:style>
  <w:style w:type="character" w:styleId="956" w:customStyle="1">
    <w:name w:val="WW8Num6z3"/>
  </w:style>
  <w:style w:type="character" w:styleId="957" w:customStyle="1">
    <w:name w:val="WW8Num6z4"/>
  </w:style>
  <w:style w:type="character" w:styleId="958" w:customStyle="1">
    <w:name w:val="WW8Num6z5"/>
  </w:style>
  <w:style w:type="character" w:styleId="959" w:customStyle="1">
    <w:name w:val="WW8Num6z6"/>
  </w:style>
  <w:style w:type="character" w:styleId="960" w:customStyle="1">
    <w:name w:val="WW8Num6z7"/>
  </w:style>
  <w:style w:type="character" w:styleId="961" w:customStyle="1">
    <w:name w:val="WW8Num6z8"/>
  </w:style>
  <w:style w:type="character" w:styleId="962" w:customStyle="1">
    <w:name w:val="WW8Num7z0"/>
    <w:rPr>
      <w:rFonts w:ascii="Wingdings" w:hAnsi="Wingdings" w:cs="Wingdings"/>
      <w:color w:val="000000"/>
      <w:sz w:val="26"/>
      <w:szCs w:val="26"/>
    </w:rPr>
  </w:style>
  <w:style w:type="character" w:styleId="963" w:customStyle="1">
    <w:name w:val="WW8Num7z1"/>
    <w:rPr>
      <w:rFonts w:ascii="Courier New" w:hAnsi="Courier New" w:cs="Courier New"/>
    </w:rPr>
  </w:style>
  <w:style w:type="character" w:styleId="964" w:customStyle="1">
    <w:name w:val="WW8Num7z2"/>
  </w:style>
  <w:style w:type="character" w:styleId="965" w:customStyle="1">
    <w:name w:val="WW8Num7z3"/>
    <w:rPr>
      <w:rFonts w:ascii="Symbol" w:hAnsi="Symbol" w:cs="Symbol"/>
    </w:rPr>
  </w:style>
  <w:style w:type="character" w:styleId="966" w:customStyle="1">
    <w:name w:val="WW8Num7z4"/>
  </w:style>
  <w:style w:type="character" w:styleId="967" w:customStyle="1">
    <w:name w:val="WW8Num7z5"/>
  </w:style>
  <w:style w:type="character" w:styleId="968" w:customStyle="1">
    <w:name w:val="WW8Num7z6"/>
  </w:style>
  <w:style w:type="character" w:styleId="969" w:customStyle="1">
    <w:name w:val="WW8Num7z7"/>
  </w:style>
  <w:style w:type="character" w:styleId="970" w:customStyle="1">
    <w:name w:val="WW8Num7z8"/>
  </w:style>
  <w:style w:type="character" w:styleId="971" w:customStyle="1">
    <w:name w:val="WW8Num8z0"/>
    <w:rPr>
      <w:rFonts w:ascii="Wingdings" w:hAnsi="Wingdings" w:cs="Wingdings"/>
      <w:sz w:val="24"/>
      <w:szCs w:val="24"/>
    </w:rPr>
  </w:style>
  <w:style w:type="character" w:styleId="972" w:customStyle="1">
    <w:name w:val="WW8Num8z1"/>
    <w:rPr>
      <w:rFonts w:ascii="Courier New" w:hAnsi="Courier New" w:cs="Courier New"/>
    </w:rPr>
  </w:style>
  <w:style w:type="character" w:styleId="973" w:customStyle="1">
    <w:name w:val="WW8Num8z2"/>
  </w:style>
  <w:style w:type="character" w:styleId="974" w:customStyle="1">
    <w:name w:val="WW8Num8z3"/>
    <w:rPr>
      <w:rFonts w:ascii="Symbol" w:hAnsi="Symbol" w:cs="Symbol"/>
    </w:rPr>
  </w:style>
  <w:style w:type="character" w:styleId="975" w:customStyle="1">
    <w:name w:val="WW8Num8z4"/>
  </w:style>
  <w:style w:type="character" w:styleId="976" w:customStyle="1">
    <w:name w:val="WW8Num8z5"/>
  </w:style>
  <w:style w:type="character" w:styleId="977" w:customStyle="1">
    <w:name w:val="WW8Num8z6"/>
  </w:style>
  <w:style w:type="character" w:styleId="978" w:customStyle="1">
    <w:name w:val="WW8Num8z7"/>
  </w:style>
  <w:style w:type="character" w:styleId="979" w:customStyle="1">
    <w:name w:val="WW8Num8z8"/>
  </w:style>
  <w:style w:type="character" w:styleId="980" w:customStyle="1">
    <w:name w:val="WW8Num9z0"/>
    <w:rPr>
      <w:rFonts w:ascii="Wingdings" w:hAnsi="Wingdings" w:cs="Wingdings"/>
    </w:rPr>
  </w:style>
  <w:style w:type="character" w:styleId="981" w:customStyle="1">
    <w:name w:val="WW8Num9z1"/>
    <w:rPr>
      <w:rFonts w:ascii="Courier New" w:hAnsi="Courier New" w:cs="Courier New"/>
    </w:rPr>
  </w:style>
  <w:style w:type="character" w:styleId="982" w:customStyle="1">
    <w:name w:val="WW8Num9z2"/>
  </w:style>
  <w:style w:type="character" w:styleId="983" w:customStyle="1">
    <w:name w:val="WW8Num9z3"/>
    <w:rPr>
      <w:rFonts w:ascii="Symbol" w:hAnsi="Symbol" w:cs="Symbol"/>
    </w:rPr>
  </w:style>
  <w:style w:type="character" w:styleId="984" w:customStyle="1">
    <w:name w:val="WW8Num9z4"/>
  </w:style>
  <w:style w:type="character" w:styleId="985" w:customStyle="1">
    <w:name w:val="WW8Num9z5"/>
  </w:style>
  <w:style w:type="character" w:styleId="986" w:customStyle="1">
    <w:name w:val="WW8Num9z6"/>
  </w:style>
  <w:style w:type="character" w:styleId="987" w:customStyle="1">
    <w:name w:val="WW8Num9z7"/>
  </w:style>
  <w:style w:type="character" w:styleId="988" w:customStyle="1">
    <w:name w:val="WW8Num9z8"/>
  </w:style>
  <w:style w:type="character" w:styleId="989" w:customStyle="1">
    <w:name w:val="WW8Num10z0"/>
    <w:rPr>
      <w:rFonts w:ascii="Wingdings" w:hAnsi="Wingdings" w:cs="Wingdings"/>
      <w:color w:val="000000"/>
      <w:sz w:val="26"/>
      <w:szCs w:val="26"/>
    </w:rPr>
  </w:style>
  <w:style w:type="character" w:styleId="990" w:customStyle="1">
    <w:name w:val="WW8Num10z1"/>
    <w:rPr>
      <w:rFonts w:ascii="Courier New" w:hAnsi="Courier New" w:cs="Courier New"/>
    </w:rPr>
  </w:style>
  <w:style w:type="character" w:styleId="991" w:customStyle="1">
    <w:name w:val="WW8Num10z2"/>
  </w:style>
  <w:style w:type="character" w:styleId="992" w:customStyle="1">
    <w:name w:val="WW8Num10z3"/>
    <w:rPr>
      <w:rFonts w:ascii="Symbol" w:hAnsi="Symbol" w:cs="Symbol"/>
    </w:rPr>
  </w:style>
  <w:style w:type="character" w:styleId="993" w:customStyle="1">
    <w:name w:val="WW8Num10z4"/>
  </w:style>
  <w:style w:type="character" w:styleId="994" w:customStyle="1">
    <w:name w:val="WW8Num10z5"/>
  </w:style>
  <w:style w:type="character" w:styleId="995" w:customStyle="1">
    <w:name w:val="WW8Num10z6"/>
  </w:style>
  <w:style w:type="character" w:styleId="996" w:customStyle="1">
    <w:name w:val="WW8Num10z7"/>
  </w:style>
  <w:style w:type="character" w:styleId="997" w:customStyle="1">
    <w:name w:val="WW8Num10z8"/>
  </w:style>
  <w:style w:type="character" w:styleId="998" w:customStyle="1">
    <w:name w:val="WW8Num11z0"/>
    <w:rPr>
      <w:rFonts w:ascii="Wingdings" w:hAnsi="Wingdings" w:cs="Wingdings"/>
    </w:rPr>
  </w:style>
  <w:style w:type="character" w:styleId="999" w:customStyle="1">
    <w:name w:val="WW8Num11z1"/>
    <w:rPr>
      <w:rFonts w:ascii="Courier New" w:hAnsi="Courier New" w:cs="Courier New"/>
    </w:rPr>
  </w:style>
  <w:style w:type="character" w:styleId="1000" w:customStyle="1">
    <w:name w:val="WW8Num11z2"/>
  </w:style>
  <w:style w:type="character" w:styleId="1001" w:customStyle="1">
    <w:name w:val="WW8Num11z3"/>
    <w:rPr>
      <w:rFonts w:ascii="Symbol" w:hAnsi="Symbol" w:cs="Symbol"/>
    </w:rPr>
  </w:style>
  <w:style w:type="character" w:styleId="1002" w:customStyle="1">
    <w:name w:val="WW8Num11z4"/>
  </w:style>
  <w:style w:type="character" w:styleId="1003" w:customStyle="1">
    <w:name w:val="WW8Num11z5"/>
  </w:style>
  <w:style w:type="character" w:styleId="1004" w:customStyle="1">
    <w:name w:val="WW8Num11z6"/>
  </w:style>
  <w:style w:type="character" w:styleId="1005" w:customStyle="1">
    <w:name w:val="WW8Num11z7"/>
  </w:style>
  <w:style w:type="character" w:styleId="1006" w:customStyle="1">
    <w:name w:val="WW8Num11z8"/>
  </w:style>
  <w:style w:type="character" w:styleId="1007" w:customStyle="1">
    <w:name w:val="WW8Num12z0"/>
    <w:rPr>
      <w:rFonts w:ascii="Symbol" w:hAnsi="Symbol" w:cs="Symbol"/>
      <w:sz w:val="24"/>
      <w:szCs w:val="24"/>
    </w:rPr>
  </w:style>
  <w:style w:type="character" w:styleId="1008" w:customStyle="1">
    <w:name w:val="WW8Num12z1"/>
  </w:style>
  <w:style w:type="character" w:styleId="1009" w:customStyle="1">
    <w:name w:val="WW8Num12z2"/>
    <w:rPr>
      <w:rFonts w:ascii="Wingdings" w:hAnsi="Wingdings" w:cs="Wingdings"/>
    </w:rPr>
  </w:style>
  <w:style w:type="character" w:styleId="1010" w:customStyle="1">
    <w:name w:val="WW8Num12z3"/>
  </w:style>
  <w:style w:type="character" w:styleId="1011" w:customStyle="1">
    <w:name w:val="WW8Num12z4"/>
    <w:rPr>
      <w:rFonts w:ascii="Courier New" w:hAnsi="Courier New" w:cs="Courier New"/>
    </w:rPr>
  </w:style>
  <w:style w:type="character" w:styleId="1012" w:customStyle="1">
    <w:name w:val="WW8Num12z5"/>
  </w:style>
  <w:style w:type="character" w:styleId="1013" w:customStyle="1">
    <w:name w:val="WW8Num12z6"/>
  </w:style>
  <w:style w:type="character" w:styleId="1014" w:customStyle="1">
    <w:name w:val="WW8Num12z7"/>
  </w:style>
  <w:style w:type="character" w:styleId="1015" w:customStyle="1">
    <w:name w:val="WW8Num12z8"/>
  </w:style>
  <w:style w:type="character" w:styleId="1016" w:customStyle="1">
    <w:name w:val="WW8Num13z0"/>
    <w:rPr>
      <w:rFonts w:ascii="Symbol" w:hAnsi="Symbol" w:cs="Symbol"/>
      <w:sz w:val="26"/>
      <w:szCs w:val="26"/>
    </w:rPr>
  </w:style>
  <w:style w:type="character" w:styleId="1017" w:customStyle="1">
    <w:name w:val="WW8Num13z1"/>
    <w:rPr>
      <w:rFonts w:ascii="Courier New" w:hAnsi="Courier New" w:cs="Courier New"/>
    </w:rPr>
  </w:style>
  <w:style w:type="character" w:styleId="1018" w:customStyle="1">
    <w:name w:val="WW8Num13z2"/>
    <w:rPr>
      <w:rFonts w:ascii="Wingdings" w:hAnsi="Wingdings" w:cs="Wingdings"/>
    </w:rPr>
  </w:style>
  <w:style w:type="character" w:styleId="1019" w:customStyle="1">
    <w:name w:val="WW8Num13z3"/>
  </w:style>
  <w:style w:type="character" w:styleId="1020" w:customStyle="1">
    <w:name w:val="WW8Num13z4"/>
  </w:style>
  <w:style w:type="character" w:styleId="1021" w:customStyle="1">
    <w:name w:val="WW8Num13z5"/>
  </w:style>
  <w:style w:type="character" w:styleId="1022" w:customStyle="1">
    <w:name w:val="WW8Num13z6"/>
  </w:style>
  <w:style w:type="character" w:styleId="1023" w:customStyle="1">
    <w:name w:val="WW8Num13z7"/>
  </w:style>
  <w:style w:type="character" w:styleId="1024" w:customStyle="1">
    <w:name w:val="WW8Num13z8"/>
  </w:style>
  <w:style w:type="character" w:styleId="1025" w:customStyle="1">
    <w:name w:val="WW8Num14z0"/>
    <w:rPr>
      <w:rFonts w:ascii="Symbol" w:hAnsi="Symbol" w:cs="Symbol"/>
      <w:sz w:val="26"/>
      <w:szCs w:val="26"/>
    </w:rPr>
  </w:style>
  <w:style w:type="character" w:styleId="1026" w:customStyle="1">
    <w:name w:val="WW8Num14z1"/>
    <w:rPr>
      <w:rFonts w:ascii="Courier New" w:hAnsi="Courier New" w:cs="Courier New"/>
    </w:rPr>
  </w:style>
  <w:style w:type="character" w:styleId="1027" w:customStyle="1">
    <w:name w:val="WW8Num14z3"/>
    <w:rPr>
      <w:rFonts w:ascii="Symbol" w:hAnsi="Symbol" w:cs="Symbol"/>
    </w:rPr>
  </w:style>
  <w:style w:type="character" w:styleId="1028" w:customStyle="1">
    <w:name w:val="WW8Num15z0"/>
    <w:rPr>
      <w:rFonts w:ascii="Symbol" w:hAnsi="Symbol" w:cs="Symbol"/>
      <w:spacing w:val="4"/>
      <w:sz w:val="26"/>
      <w:szCs w:val="26"/>
    </w:rPr>
  </w:style>
  <w:style w:type="character" w:styleId="1029" w:customStyle="1">
    <w:name w:val="WW8Num15z1"/>
    <w:rPr>
      <w:rFonts w:ascii="Courier New" w:hAnsi="Courier New" w:cs="Courier New"/>
    </w:rPr>
  </w:style>
  <w:style w:type="character" w:styleId="1030" w:customStyle="1">
    <w:name w:val="WW8Num15z3"/>
    <w:rPr>
      <w:rFonts w:ascii="Symbol" w:hAnsi="Symbol" w:cs="Symbol"/>
    </w:rPr>
  </w:style>
  <w:style w:type="character" w:styleId="1031" w:customStyle="1">
    <w:name w:val="WW8Num16z0"/>
    <w:rPr>
      <w:rFonts w:ascii="Wingdings" w:hAnsi="Wingdings" w:cs="Wingdings"/>
      <w:sz w:val="26"/>
      <w:szCs w:val="26"/>
    </w:rPr>
  </w:style>
  <w:style w:type="character" w:styleId="1032" w:customStyle="1">
    <w:name w:val="WW8Num16z1"/>
    <w:rPr>
      <w:rFonts w:ascii="Courier New" w:hAnsi="Courier New" w:cs="Courier New"/>
    </w:rPr>
  </w:style>
  <w:style w:type="character" w:styleId="1033" w:customStyle="1">
    <w:name w:val="WW8Num16z3"/>
    <w:rPr>
      <w:rFonts w:ascii="Symbol" w:hAnsi="Symbol" w:cs="Symbol"/>
    </w:rPr>
  </w:style>
  <w:style w:type="character" w:styleId="1034" w:customStyle="1">
    <w:name w:val="WW8Num17z0"/>
    <w:rPr>
      <w:rFonts w:ascii="Symbol" w:hAnsi="Symbol" w:cs="Symbol"/>
      <w:color w:val="00000a"/>
    </w:rPr>
  </w:style>
  <w:style w:type="character" w:styleId="1035" w:customStyle="1">
    <w:name w:val="WW8Num17z1"/>
    <w:rPr>
      <w:rFonts w:ascii="Courier New" w:hAnsi="Courier New" w:cs="Courier New"/>
    </w:rPr>
  </w:style>
  <w:style w:type="character" w:styleId="1036" w:customStyle="1">
    <w:name w:val="WW8Num17z3"/>
    <w:rPr>
      <w:rFonts w:ascii="Symbol" w:hAnsi="Symbol" w:cs="Symbol"/>
    </w:rPr>
  </w:style>
  <w:style w:type="character" w:styleId="1037" w:customStyle="1">
    <w:name w:val="WW8Num18z0"/>
    <w:rPr>
      <w:rFonts w:ascii="Symbol" w:hAnsi="Symbol" w:cs="Symbol"/>
    </w:rPr>
  </w:style>
  <w:style w:type="character" w:styleId="1038" w:customStyle="1">
    <w:name w:val="WW8Num18z1"/>
    <w:rPr>
      <w:rFonts w:ascii="Courier New" w:hAnsi="Courier New" w:cs="Courier New"/>
    </w:rPr>
  </w:style>
  <w:style w:type="character" w:styleId="1039" w:customStyle="1">
    <w:name w:val="WW8Num18z3"/>
    <w:rPr>
      <w:rFonts w:ascii="Symbol" w:hAnsi="Symbol" w:cs="Symbol"/>
    </w:rPr>
  </w:style>
  <w:style w:type="character" w:styleId="1040" w:customStyle="1">
    <w:name w:val="WW8Num19z0"/>
    <w:rPr>
      <w:rFonts w:ascii="Symbol" w:hAnsi="Symbol" w:cs="Symbol"/>
      <w:color w:val="00000a"/>
      <w:sz w:val="26"/>
      <w:szCs w:val="26"/>
    </w:rPr>
  </w:style>
  <w:style w:type="character" w:styleId="1041" w:customStyle="1">
    <w:name w:val="WW8Num19z1"/>
    <w:rPr>
      <w:rFonts w:ascii="Courier New" w:hAnsi="Courier New" w:cs="Courier New"/>
    </w:rPr>
  </w:style>
  <w:style w:type="character" w:styleId="1042" w:customStyle="1">
    <w:name w:val="WW8Num19z3"/>
    <w:rPr>
      <w:rFonts w:ascii="Symbol" w:hAnsi="Symbol" w:cs="Symbol"/>
    </w:rPr>
  </w:style>
  <w:style w:type="character" w:styleId="1043" w:customStyle="1">
    <w:name w:val="WW8Num20z0"/>
    <w:rPr>
      <w:rFonts w:ascii="Symbol" w:hAnsi="Symbol" w:cs="Symbol"/>
      <w:sz w:val="26"/>
      <w:szCs w:val="26"/>
    </w:rPr>
  </w:style>
  <w:style w:type="character" w:styleId="1044" w:customStyle="1">
    <w:name w:val="WW8Num20z1"/>
    <w:rPr>
      <w:rFonts w:ascii="Courier New" w:hAnsi="Courier New" w:cs="Courier New"/>
    </w:rPr>
  </w:style>
  <w:style w:type="character" w:styleId="1045" w:customStyle="1">
    <w:name w:val="WW8Num20z3"/>
    <w:rPr>
      <w:rFonts w:ascii="Symbol" w:hAnsi="Symbol" w:cs="Symbol"/>
    </w:rPr>
  </w:style>
  <w:style w:type="character" w:styleId="1046" w:customStyle="1">
    <w:name w:val="WW8Num21z0"/>
    <w:rPr>
      <w:rFonts w:ascii="Symbol" w:hAnsi="Symbol" w:cs="Symbol"/>
      <w:color w:val="000000"/>
      <w:sz w:val="26"/>
      <w:szCs w:val="26"/>
    </w:rPr>
  </w:style>
  <w:style w:type="character" w:styleId="1047" w:customStyle="1">
    <w:name w:val="WW8Num21z1"/>
    <w:rPr>
      <w:rFonts w:ascii="Courier New" w:hAnsi="Courier New" w:cs="Courier New"/>
    </w:rPr>
  </w:style>
  <w:style w:type="character" w:styleId="1048" w:customStyle="1">
    <w:name w:val="WW8Num21z3"/>
    <w:rPr>
      <w:rFonts w:ascii="Symbol" w:hAnsi="Symbol" w:cs="Symbol"/>
    </w:rPr>
  </w:style>
  <w:style w:type="character" w:styleId="1049" w:customStyle="1">
    <w:name w:val="WW8Num22z0"/>
    <w:rPr>
      <w:rFonts w:ascii="Symbol" w:hAnsi="Symbol" w:cs="Symbol"/>
      <w:color w:val="000000"/>
      <w:sz w:val="26"/>
      <w:szCs w:val="26"/>
    </w:rPr>
  </w:style>
  <w:style w:type="character" w:styleId="1050" w:customStyle="1">
    <w:name w:val="WW8Num22z1"/>
    <w:rPr>
      <w:rFonts w:ascii="Courier New" w:hAnsi="Courier New" w:cs="Courier New"/>
    </w:rPr>
  </w:style>
  <w:style w:type="character" w:styleId="1051" w:customStyle="1">
    <w:name w:val="WW8Num22z2"/>
    <w:rPr>
      <w:rFonts w:ascii="Wingdings" w:hAnsi="Wingdings" w:cs="Wingdings"/>
    </w:rPr>
  </w:style>
  <w:style w:type="character" w:styleId="1052" w:customStyle="1">
    <w:name w:val="WW8Num22z3"/>
  </w:style>
  <w:style w:type="character" w:styleId="1053" w:customStyle="1">
    <w:name w:val="WW8Num22z4"/>
  </w:style>
  <w:style w:type="character" w:styleId="1054" w:customStyle="1">
    <w:name w:val="WW8Num22z5"/>
  </w:style>
  <w:style w:type="character" w:styleId="1055" w:customStyle="1">
    <w:name w:val="WW8Num22z6"/>
  </w:style>
  <w:style w:type="character" w:styleId="1056" w:customStyle="1">
    <w:name w:val="WW8Num22z7"/>
  </w:style>
  <w:style w:type="character" w:styleId="1057" w:customStyle="1">
    <w:name w:val="WW8Num22z8"/>
  </w:style>
  <w:style w:type="character" w:styleId="1058" w:customStyle="1">
    <w:name w:val="WW8Num23z0"/>
    <w:rPr>
      <w:rFonts w:ascii="Wingdings" w:hAnsi="Wingdings" w:cs="Wingdings"/>
    </w:rPr>
  </w:style>
  <w:style w:type="character" w:styleId="1059" w:customStyle="1">
    <w:name w:val="WW8Num23z1"/>
    <w:rPr>
      <w:rFonts w:ascii="Courier New" w:hAnsi="Courier New" w:cs="Courier New"/>
    </w:rPr>
  </w:style>
  <w:style w:type="character" w:styleId="1060" w:customStyle="1">
    <w:name w:val="WW8Num23z3"/>
    <w:rPr>
      <w:rFonts w:ascii="Symbol" w:hAnsi="Symbol" w:cs="Symbol"/>
    </w:rPr>
  </w:style>
  <w:style w:type="character" w:styleId="1061" w:customStyle="1">
    <w:name w:val="WW8Num24z0"/>
    <w:rPr>
      <w:rFonts w:ascii="Symbol" w:hAnsi="Symbol" w:cs="Symbol"/>
      <w:sz w:val="26"/>
      <w:szCs w:val="26"/>
    </w:rPr>
  </w:style>
  <w:style w:type="character" w:styleId="1062" w:customStyle="1">
    <w:name w:val="WW8Num24z1"/>
    <w:rPr>
      <w:rFonts w:ascii="Courier New" w:hAnsi="Courier New" w:cs="Courier New"/>
    </w:rPr>
  </w:style>
  <w:style w:type="character" w:styleId="1063" w:customStyle="1">
    <w:name w:val="WW8Num24z3"/>
    <w:rPr>
      <w:rFonts w:ascii="Symbol" w:hAnsi="Symbol" w:cs="Symbol"/>
    </w:rPr>
  </w:style>
  <w:style w:type="character" w:styleId="1064" w:customStyle="1">
    <w:name w:val="WW8Num25z0"/>
    <w:rPr>
      <w:rFonts w:ascii="Symbol" w:hAnsi="Symbol" w:cs="Symbol"/>
      <w:sz w:val="26"/>
      <w:szCs w:val="26"/>
    </w:rPr>
  </w:style>
  <w:style w:type="character" w:styleId="1065" w:customStyle="1">
    <w:name w:val="WW8Num25z1"/>
    <w:rPr>
      <w:rFonts w:ascii="Courier New" w:hAnsi="Courier New" w:cs="Courier New"/>
    </w:rPr>
  </w:style>
  <w:style w:type="character" w:styleId="1066" w:customStyle="1">
    <w:name w:val="WW8Num25z3"/>
    <w:rPr>
      <w:rFonts w:ascii="Symbol" w:hAnsi="Symbol" w:cs="Symbol"/>
    </w:rPr>
  </w:style>
  <w:style w:type="character" w:styleId="1067" w:customStyle="1">
    <w:name w:val="Основной шрифт абзаца1"/>
  </w:style>
  <w:style w:type="character" w:styleId="1068" w:customStyle="1">
    <w:name w:val="WW8Num4z1"/>
    <w:rPr>
      <w:rFonts w:ascii="Courier New" w:hAnsi="Courier New" w:cs="Courier New"/>
    </w:rPr>
  </w:style>
  <w:style w:type="character" w:styleId="1069" w:customStyle="1">
    <w:name w:val="WW8Num14z2"/>
    <w:rPr>
      <w:rFonts w:ascii="Wingdings" w:hAnsi="Wingdings" w:cs="Wingdings"/>
    </w:rPr>
  </w:style>
  <w:style w:type="character" w:styleId="1070" w:customStyle="1">
    <w:name w:val="WW8Num15z2"/>
    <w:rPr>
      <w:rFonts w:ascii="Wingdings" w:hAnsi="Wingdings" w:cs="Wingdings"/>
    </w:rPr>
  </w:style>
  <w:style w:type="character" w:styleId="1071" w:customStyle="1">
    <w:name w:val="WW8Num17z2"/>
    <w:rPr>
      <w:rFonts w:ascii="Wingdings" w:hAnsi="Wingdings" w:cs="Wingdings"/>
    </w:rPr>
  </w:style>
  <w:style w:type="character" w:styleId="1072" w:customStyle="1">
    <w:name w:val="WW8Num18z2"/>
    <w:rPr>
      <w:rFonts w:ascii="Wingdings" w:hAnsi="Wingdings" w:cs="Wingdings"/>
    </w:rPr>
  </w:style>
  <w:style w:type="character" w:styleId="1073" w:customStyle="1">
    <w:name w:val="WW8Num19z2"/>
    <w:rPr>
      <w:rFonts w:ascii="Wingdings" w:hAnsi="Wingdings" w:cs="Wingdings"/>
    </w:rPr>
  </w:style>
  <w:style w:type="character" w:styleId="1074" w:customStyle="1">
    <w:name w:val="WW8Num20z2"/>
    <w:rPr>
      <w:rFonts w:ascii="Wingdings" w:hAnsi="Wingdings" w:cs="Wingdings"/>
    </w:rPr>
  </w:style>
  <w:style w:type="character" w:styleId="1075" w:customStyle="1">
    <w:name w:val="WW8Num21z2"/>
    <w:rPr>
      <w:rFonts w:ascii="Wingdings" w:hAnsi="Wingdings" w:cs="Wingdings"/>
    </w:rPr>
  </w:style>
  <w:style w:type="character" w:styleId="1076" w:customStyle="1">
    <w:name w:val="WW8Num24z2"/>
    <w:rPr>
      <w:rFonts w:ascii="Wingdings" w:hAnsi="Wingdings" w:cs="Wingdings"/>
    </w:rPr>
  </w:style>
  <w:style w:type="character" w:styleId="1077" w:customStyle="1">
    <w:name w:val="WW8Num25z2"/>
    <w:rPr>
      <w:rFonts w:ascii="Wingdings" w:hAnsi="Wingdings" w:cs="Wingdings"/>
    </w:rPr>
  </w:style>
  <w:style w:type="character" w:styleId="1078" w:customStyle="1">
    <w:name w:val="WW8Num26z0"/>
    <w:rPr>
      <w:b/>
    </w:rPr>
  </w:style>
  <w:style w:type="character" w:styleId="1079" w:customStyle="1">
    <w:name w:val="WW8Num26z1"/>
  </w:style>
  <w:style w:type="character" w:styleId="1080" w:customStyle="1">
    <w:name w:val="WW8Num26z2"/>
  </w:style>
  <w:style w:type="character" w:styleId="1081" w:customStyle="1">
    <w:name w:val="WW8Num26z3"/>
  </w:style>
  <w:style w:type="character" w:styleId="1082" w:customStyle="1">
    <w:name w:val="WW8Num26z4"/>
  </w:style>
  <w:style w:type="character" w:styleId="1083" w:customStyle="1">
    <w:name w:val="WW8Num26z5"/>
  </w:style>
  <w:style w:type="character" w:styleId="1084" w:customStyle="1">
    <w:name w:val="WW8Num26z6"/>
  </w:style>
  <w:style w:type="character" w:styleId="1085" w:customStyle="1">
    <w:name w:val="WW8Num26z7"/>
  </w:style>
  <w:style w:type="character" w:styleId="1086" w:customStyle="1">
    <w:name w:val="WW8Num26z8"/>
  </w:style>
  <w:style w:type="character" w:styleId="1087" w:customStyle="1">
    <w:name w:val="WW8Num27z0"/>
    <w:rPr>
      <w:rFonts w:ascii="Wingdings" w:hAnsi="Wingdings" w:cs="Wingdings"/>
    </w:rPr>
  </w:style>
  <w:style w:type="character" w:styleId="1088" w:customStyle="1">
    <w:name w:val="WW8Num27z1"/>
    <w:rPr>
      <w:rFonts w:ascii="Courier New" w:hAnsi="Courier New" w:cs="Courier New"/>
    </w:rPr>
  </w:style>
  <w:style w:type="character" w:styleId="1089" w:customStyle="1">
    <w:name w:val="WW8Num27z3"/>
    <w:rPr>
      <w:rFonts w:ascii="Symbol" w:hAnsi="Symbol" w:cs="Symbol"/>
    </w:rPr>
  </w:style>
  <w:style w:type="character" w:styleId="1090" w:customStyle="1">
    <w:name w:val="WW8Num28z0"/>
    <w:rPr>
      <w:rFonts w:ascii="Wingdings" w:hAnsi="Wingdings" w:cs="Wingdings"/>
    </w:rPr>
  </w:style>
  <w:style w:type="character" w:styleId="1091" w:customStyle="1">
    <w:name w:val="WW8Num28z1"/>
    <w:rPr>
      <w:rFonts w:ascii="Courier New" w:hAnsi="Courier New" w:cs="Courier New"/>
    </w:rPr>
  </w:style>
  <w:style w:type="character" w:styleId="1092" w:customStyle="1">
    <w:name w:val="WW8Num28z3"/>
    <w:rPr>
      <w:rFonts w:ascii="Symbol" w:hAnsi="Symbol" w:cs="Symbol"/>
    </w:rPr>
  </w:style>
  <w:style w:type="character" w:styleId="1093" w:customStyle="1">
    <w:name w:val="WW8Num29z0"/>
    <w:rPr>
      <w:rFonts w:ascii="Wingdings" w:hAnsi="Wingdings" w:cs="Wingdings"/>
    </w:rPr>
  </w:style>
  <w:style w:type="character" w:styleId="1094" w:customStyle="1">
    <w:name w:val="WW8Num29z1"/>
    <w:rPr>
      <w:rFonts w:ascii="Courier New" w:hAnsi="Courier New" w:cs="Courier New"/>
    </w:rPr>
  </w:style>
  <w:style w:type="character" w:styleId="1095" w:customStyle="1">
    <w:name w:val="WW8Num29z3"/>
    <w:rPr>
      <w:rFonts w:ascii="Symbol" w:hAnsi="Symbol" w:cs="Symbol"/>
    </w:rPr>
  </w:style>
  <w:style w:type="character" w:styleId="1096" w:customStyle="1">
    <w:name w:val="WW8Num30z0"/>
    <w:rPr>
      <w:rFonts w:ascii="Symbol" w:hAnsi="Symbol" w:cs="Symbol"/>
      <w:sz w:val="26"/>
      <w:szCs w:val="26"/>
    </w:rPr>
  </w:style>
  <w:style w:type="character" w:styleId="1097" w:customStyle="1">
    <w:name w:val="WW8Num30z1"/>
    <w:rPr>
      <w:rFonts w:ascii="Courier New" w:hAnsi="Courier New" w:cs="Courier New"/>
    </w:rPr>
  </w:style>
  <w:style w:type="character" w:styleId="1098" w:customStyle="1">
    <w:name w:val="WW8Num30z2"/>
    <w:rPr>
      <w:rFonts w:ascii="Wingdings" w:hAnsi="Wingdings" w:cs="Wingdings"/>
    </w:rPr>
  </w:style>
  <w:style w:type="character" w:styleId="1099" w:customStyle="1">
    <w:name w:val="Основной шрифт абзаца1"/>
  </w:style>
  <w:style w:type="character" w:styleId="1100" w:customStyle="1">
    <w:name w:val="Символ сноски"/>
    <w:basedOn w:val="1099"/>
    <w:rPr>
      <w:vertAlign w:val="superscript"/>
    </w:rPr>
  </w:style>
  <w:style w:type="character" w:styleId="1101">
    <w:name w:val="Emphasis"/>
    <w:basedOn w:val="1099"/>
    <w:qFormat/>
    <w:rPr>
      <w:i/>
      <w:iCs/>
    </w:rPr>
  </w:style>
  <w:style w:type="character" w:styleId="1102" w:customStyle="1">
    <w:name w:val="Номер страницы1"/>
    <w:basedOn w:val="1099"/>
  </w:style>
  <w:style w:type="character" w:styleId="1103" w:customStyle="1">
    <w:name w:val="Основной текст Знак"/>
    <w:rPr>
      <w:lang w:val="ru-RU" w:eastAsia="ar-SA" w:bidi="ar-SA"/>
    </w:rPr>
  </w:style>
  <w:style w:type="character" w:styleId="1104" w:customStyle="1">
    <w:name w:val="Текст сноски Знак1"/>
    <w:basedOn w:val="1099"/>
    <w:link w:val="1105"/>
    <w:rPr>
      <w:lang w:val="ru-RU" w:eastAsia="ar-SA" w:bidi="ar-SA"/>
    </w:rPr>
  </w:style>
  <w:style w:type="paragraph" w:styleId="1105">
    <w:name w:val="footnote text"/>
    <w:basedOn w:val="723"/>
    <w:link w:val="1104"/>
    <w:rPr>
      <w:sz w:val="20"/>
      <w:szCs w:val="20"/>
    </w:rPr>
  </w:style>
  <w:style w:type="character" w:styleId="1106" w:customStyle="1">
    <w:name w:val="Знак Знак"/>
    <w:rPr>
      <w:lang w:val="ru-RU" w:eastAsia="ar-SA" w:bidi="ar-SA"/>
    </w:rPr>
  </w:style>
  <w:style w:type="character" w:styleId="1107" w:customStyle="1">
    <w:name w:val="Заголовок 3 Знак"/>
    <w:basedOn w:val="1099"/>
    <w:rPr>
      <w:b/>
      <w:sz w:val="28"/>
      <w:szCs w:val="28"/>
      <w:lang w:val="ru-RU" w:eastAsia="ar-SA" w:bidi="ar-SA"/>
    </w:rPr>
  </w:style>
  <w:style w:type="character" w:styleId="1108" w:customStyle="1">
    <w:name w:val="ConsPlusNormal Знак"/>
    <w:basedOn w:val="1099"/>
    <w:rPr>
      <w:rFonts w:ascii="Arial" w:hAnsi="Arial" w:cs="Arial"/>
      <w:lang w:val="ru-RU" w:eastAsia="ar-SA" w:bidi="ar-SA"/>
    </w:rPr>
  </w:style>
  <w:style w:type="character" w:styleId="1109" w:customStyle="1">
    <w:name w:val="Знак Знак6"/>
    <w:basedOn w:val="1099"/>
    <w:rPr>
      <w:b/>
      <w:sz w:val="28"/>
      <w:szCs w:val="28"/>
      <w:lang w:val="ru-RU" w:eastAsia="ar-SA" w:bidi="ar-SA"/>
    </w:rPr>
  </w:style>
  <w:style w:type="character" w:styleId="1110">
    <w:name w:val="Hyperlink"/>
    <w:rPr>
      <w:color w:val="000080"/>
      <w:u w:val="single"/>
    </w:rPr>
  </w:style>
  <w:style w:type="character" w:styleId="1111" w:customStyle="1">
    <w:name w:val="Основной текст с отступом 3 Знак"/>
    <w:basedOn w:val="1067"/>
    <w:rPr>
      <w:color w:val="0000ff"/>
      <w:sz w:val="26"/>
      <w:szCs w:val="28"/>
    </w:rPr>
  </w:style>
  <w:style w:type="character" w:styleId="1112" w:customStyle="1">
    <w:name w:val="Основной текст с отступом 2 Знак"/>
    <w:basedOn w:val="1067"/>
    <w:rPr>
      <w:sz w:val="28"/>
    </w:rPr>
  </w:style>
  <w:style w:type="character" w:styleId="1113" w:customStyle="1">
    <w:name w:val="Основной текст 3 Знак"/>
    <w:basedOn w:val="1067"/>
    <w:rPr>
      <w:sz w:val="16"/>
      <w:szCs w:val="16"/>
    </w:rPr>
  </w:style>
  <w:style w:type="character" w:styleId="1114" w:customStyle="1">
    <w:name w:val="Основной текст 2 Знак"/>
    <w:basedOn w:val="1067"/>
    <w:rPr>
      <w:sz w:val="26"/>
      <w:szCs w:val="28"/>
    </w:rPr>
  </w:style>
  <w:style w:type="character" w:styleId="1115" w:customStyle="1">
    <w:name w:val="ListLabel 1"/>
    <w:rPr>
      <w:rFonts w:cs="Times New Roman"/>
      <w:sz w:val="26"/>
      <w:szCs w:val="26"/>
    </w:rPr>
  </w:style>
  <w:style w:type="character" w:styleId="1116" w:customStyle="1">
    <w:name w:val="ListLabel 2"/>
    <w:rPr>
      <w:rFonts w:cs="Symbol"/>
      <w:sz w:val="26"/>
      <w:szCs w:val="26"/>
    </w:rPr>
  </w:style>
  <w:style w:type="character" w:styleId="1117" w:customStyle="1">
    <w:name w:val="ListLabel 3"/>
    <w:rPr>
      <w:rFonts w:cs="Wingdings"/>
      <w:sz w:val="24"/>
      <w:szCs w:val="24"/>
    </w:rPr>
  </w:style>
  <w:style w:type="character" w:styleId="1118" w:customStyle="1">
    <w:name w:val="ListLabel 4"/>
    <w:rPr>
      <w:rFonts w:cs="Symbol"/>
      <w:sz w:val="24"/>
      <w:szCs w:val="24"/>
    </w:rPr>
  </w:style>
  <w:style w:type="character" w:styleId="1119" w:customStyle="1">
    <w:name w:val="ListLabel 5"/>
    <w:rPr>
      <w:rFonts w:cs="Wingdings"/>
    </w:rPr>
  </w:style>
  <w:style w:type="character" w:styleId="1120" w:customStyle="1">
    <w:name w:val="ListLabel 6"/>
    <w:rPr>
      <w:rFonts w:cs="Courier New"/>
    </w:rPr>
  </w:style>
  <w:style w:type="character" w:styleId="1121" w:customStyle="1">
    <w:name w:val="ListLabel 7"/>
    <w:rPr>
      <w:rFonts w:cs="Symbol"/>
    </w:rPr>
  </w:style>
  <w:style w:type="character" w:styleId="1122" w:customStyle="1">
    <w:name w:val="ListLabel 8"/>
    <w:rPr>
      <w:rFonts w:cs="Symbol"/>
      <w:color w:val="00000a"/>
    </w:rPr>
  </w:style>
  <w:style w:type="character" w:styleId="1123" w:customStyle="1">
    <w:name w:val="ListLabel 9"/>
    <w:rPr>
      <w:rFonts w:cs="Symbol"/>
      <w:color w:val="000000"/>
      <w:sz w:val="26"/>
      <w:szCs w:val="26"/>
    </w:rPr>
  </w:style>
  <w:style w:type="character" w:styleId="1124" w:customStyle="1">
    <w:name w:val="ListLabel 10"/>
    <w:rPr>
      <w:color w:val="00000a"/>
    </w:rPr>
  </w:style>
  <w:style w:type="character" w:styleId="1125" w:customStyle="1">
    <w:name w:val="ListLabel 11"/>
    <w:rPr>
      <w:b/>
    </w:rPr>
  </w:style>
  <w:style w:type="paragraph" w:styleId="1126" w:customStyle="1">
    <w:name w:val="Заголовок1"/>
    <w:basedOn w:val="723"/>
    <w:next w:val="913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1127">
    <w:name w:val="List"/>
    <w:basedOn w:val="913"/>
    <w:rPr>
      <w:rFonts w:cs="Mangal"/>
    </w:rPr>
  </w:style>
  <w:style w:type="paragraph" w:styleId="1128" w:customStyle="1">
    <w:name w:val="Название2"/>
    <w:basedOn w:val="723"/>
    <w:pPr>
      <w:spacing w:before="120" w:after="120"/>
      <w:suppressLineNumbers/>
    </w:pPr>
    <w:rPr>
      <w:rFonts w:cs="Mangal"/>
      <w:i/>
      <w:iCs/>
    </w:rPr>
  </w:style>
  <w:style w:type="paragraph" w:styleId="1129" w:customStyle="1">
    <w:name w:val="Указатель2"/>
    <w:basedOn w:val="723"/>
    <w:pPr>
      <w:suppressLineNumbers/>
    </w:pPr>
    <w:rPr>
      <w:rFonts w:cs="Mangal"/>
    </w:rPr>
  </w:style>
  <w:style w:type="paragraph" w:styleId="1130" w:customStyle="1">
    <w:name w:val="Название1"/>
    <w:basedOn w:val="723"/>
    <w:pPr>
      <w:spacing w:before="120" w:after="120"/>
      <w:suppressLineNumbers/>
    </w:pPr>
    <w:rPr>
      <w:rFonts w:cs="Mangal"/>
      <w:i/>
      <w:iCs/>
    </w:rPr>
  </w:style>
  <w:style w:type="paragraph" w:styleId="1131" w:customStyle="1">
    <w:name w:val="Указатель1"/>
    <w:basedOn w:val="723"/>
    <w:pPr>
      <w:suppressLineNumbers/>
    </w:pPr>
    <w:rPr>
      <w:rFonts w:cs="Mangal"/>
    </w:rPr>
  </w:style>
  <w:style w:type="paragraph" w:styleId="1132" w:customStyle="1">
    <w:name w:val="Основной текст с отступом 31"/>
    <w:basedOn w:val="723"/>
    <w:pPr>
      <w:ind w:firstLine="709"/>
      <w:jc w:val="both"/>
      <w:spacing w:line="288" w:lineRule="auto"/>
    </w:pPr>
    <w:rPr>
      <w:color w:val="0000ff"/>
      <w:sz w:val="26"/>
      <w:szCs w:val="28"/>
    </w:rPr>
  </w:style>
  <w:style w:type="paragraph" w:styleId="1133">
    <w:name w:val="Body Text Indent"/>
    <w:basedOn w:val="723"/>
    <w:pPr>
      <w:ind w:left="283" w:firstLine="709"/>
      <w:jc w:val="both"/>
    </w:pPr>
    <w:rPr>
      <w:color w:val="0000ff"/>
      <w:sz w:val="28"/>
      <w:szCs w:val="28"/>
    </w:rPr>
  </w:style>
  <w:style w:type="paragraph" w:styleId="1134" w:customStyle="1">
    <w:name w:val="Основной текст с отступом 21"/>
    <w:basedOn w:val="723"/>
    <w:pPr>
      <w:ind w:firstLine="709"/>
      <w:jc w:val="both"/>
    </w:pPr>
    <w:rPr>
      <w:sz w:val="28"/>
      <w:szCs w:val="20"/>
    </w:rPr>
  </w:style>
  <w:style w:type="paragraph" w:styleId="1135" w:customStyle="1">
    <w:name w:val="Основной текст 31"/>
    <w:basedOn w:val="723"/>
    <w:pPr>
      <w:spacing w:after="120"/>
    </w:pPr>
    <w:rPr>
      <w:sz w:val="16"/>
      <w:szCs w:val="16"/>
    </w:rPr>
  </w:style>
  <w:style w:type="paragraph" w:styleId="1136" w:customStyle="1">
    <w:name w:val="xl24"/>
    <w:basedOn w:val="723"/>
    <w:pPr>
      <w:jc w:val="center"/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 CYR" w:hAnsi="Times New Roman CYR" w:cs="Times New Roman CYR"/>
      <w:b/>
      <w:bCs/>
      <w:sz w:val="28"/>
      <w:szCs w:val="28"/>
    </w:rPr>
  </w:style>
  <w:style w:type="paragraph" w:styleId="1137" w:customStyle="1">
    <w:name w:val="xl25"/>
    <w:basedOn w:val="723"/>
    <w:pPr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 CYR" w:hAnsi="Times New Roman CYR" w:cs="Times New Roman CYR"/>
      <w:b/>
      <w:bCs/>
      <w:i/>
      <w:iCs/>
      <w:sz w:val="28"/>
      <w:szCs w:val="28"/>
    </w:rPr>
  </w:style>
  <w:style w:type="paragraph" w:styleId="1138" w:customStyle="1">
    <w:name w:val="xl26"/>
    <w:basedOn w:val="723"/>
    <w:pPr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 CYR" w:hAnsi="Times New Roman CYR" w:cs="Times New Roman CYR"/>
    </w:rPr>
  </w:style>
  <w:style w:type="paragraph" w:styleId="1139" w:customStyle="1">
    <w:name w:val="xl27"/>
    <w:basedOn w:val="723"/>
    <w:pPr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 CYR" w:hAnsi="Times New Roman CYR" w:cs="Times New Roman CYR"/>
      <w:b/>
      <w:bCs/>
      <w:sz w:val="28"/>
      <w:szCs w:val="28"/>
    </w:rPr>
  </w:style>
  <w:style w:type="paragraph" w:styleId="1140" w:customStyle="1">
    <w:name w:val="xl28"/>
    <w:basedOn w:val="723"/>
    <w:pPr>
      <w:jc w:val="center"/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 CYR" w:hAnsi="Times New Roman CYR" w:cs="Times New Roman CYR"/>
    </w:rPr>
  </w:style>
  <w:style w:type="paragraph" w:styleId="1141" w:customStyle="1">
    <w:name w:val="xl29"/>
    <w:basedOn w:val="723"/>
    <w:pPr>
      <w:jc w:val="center"/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 CYR" w:hAnsi="Times New Roman CYR" w:cs="Times New Roman CYR"/>
    </w:rPr>
  </w:style>
  <w:style w:type="paragraph" w:styleId="1142" w:customStyle="1">
    <w:name w:val="xl30"/>
    <w:basedOn w:val="723"/>
    <w:pPr>
      <w:jc w:val="center"/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 CYR" w:hAnsi="Times New Roman CYR" w:cs="Times New Roman CYR"/>
      <w:b/>
      <w:bCs/>
      <w:sz w:val="28"/>
      <w:szCs w:val="28"/>
    </w:rPr>
  </w:style>
  <w:style w:type="paragraph" w:styleId="1143" w:customStyle="1">
    <w:name w:val="xl31"/>
    <w:basedOn w:val="723"/>
    <w:pPr>
      <w:jc w:val="center"/>
      <w:spacing w:before="280" w:after="280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 CYR" w:hAnsi="Times New Roman CYR" w:cs="Times New Roman CYR"/>
      <w:b/>
      <w:bCs/>
      <w:sz w:val="28"/>
      <w:szCs w:val="28"/>
    </w:rPr>
  </w:style>
  <w:style w:type="paragraph" w:styleId="1144" w:customStyle="1">
    <w:name w:val="xl32"/>
    <w:basedOn w:val="723"/>
    <w:pPr>
      <w:jc w:val="right"/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 CYR" w:hAnsi="Times New Roman CYR" w:cs="Times New Roman CYR"/>
      <w:b/>
      <w:bCs/>
      <w:sz w:val="28"/>
      <w:szCs w:val="28"/>
    </w:rPr>
  </w:style>
  <w:style w:type="paragraph" w:styleId="1145" w:customStyle="1">
    <w:name w:val="xl33"/>
    <w:basedOn w:val="723"/>
    <w:pPr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 CYR" w:hAnsi="Times New Roman CYR" w:cs="Times New Roman CYR"/>
      <w:b/>
      <w:bCs/>
      <w:sz w:val="28"/>
      <w:szCs w:val="28"/>
    </w:rPr>
  </w:style>
  <w:style w:type="paragraph" w:styleId="1146" w:customStyle="1">
    <w:name w:val="xl34"/>
    <w:basedOn w:val="723"/>
    <w:pPr>
      <w:jc w:val="right"/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 CYR" w:hAnsi="Times New Roman CYR" w:cs="Times New Roman CYR"/>
      <w:b/>
      <w:bCs/>
      <w:sz w:val="28"/>
      <w:szCs w:val="28"/>
    </w:rPr>
  </w:style>
  <w:style w:type="paragraph" w:styleId="1147" w:customStyle="1">
    <w:name w:val="xl35"/>
    <w:basedOn w:val="723"/>
    <w:pPr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 CYR" w:hAnsi="Times New Roman CYR" w:cs="Times New Roman CYR"/>
      <w:b/>
      <w:bCs/>
      <w:sz w:val="28"/>
      <w:szCs w:val="28"/>
    </w:rPr>
  </w:style>
  <w:style w:type="paragraph" w:styleId="1148" w:customStyle="1">
    <w:name w:val="xl36"/>
    <w:basedOn w:val="723"/>
    <w:pPr>
      <w:jc w:val="right"/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 CYR" w:hAnsi="Times New Roman CYR" w:cs="Times New Roman CYR"/>
      <w:b/>
      <w:bCs/>
      <w:i/>
      <w:iCs/>
      <w:sz w:val="28"/>
      <w:szCs w:val="28"/>
    </w:rPr>
  </w:style>
  <w:style w:type="paragraph" w:styleId="1149" w:customStyle="1">
    <w:name w:val="xl37"/>
    <w:basedOn w:val="723"/>
    <w:pPr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 CYR" w:hAnsi="Times New Roman CYR" w:cs="Times New Roman CYR"/>
      <w:b/>
      <w:bCs/>
      <w:i/>
      <w:iCs/>
      <w:sz w:val="28"/>
      <w:szCs w:val="28"/>
    </w:rPr>
  </w:style>
  <w:style w:type="paragraph" w:styleId="1150" w:customStyle="1">
    <w:name w:val="xl38"/>
    <w:basedOn w:val="723"/>
    <w:pPr>
      <w:jc w:val="right"/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 CYR" w:hAnsi="Times New Roman CYR" w:cs="Times New Roman CYR"/>
    </w:rPr>
  </w:style>
  <w:style w:type="paragraph" w:styleId="1151" w:customStyle="1">
    <w:name w:val="xl39"/>
    <w:basedOn w:val="723"/>
    <w:pPr>
      <w:jc w:val="right"/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1152" w:customStyle="1">
    <w:name w:val="xl40"/>
    <w:basedOn w:val="723"/>
    <w:pPr>
      <w:jc w:val="right"/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 CYR" w:hAnsi="Times New Roman CYR" w:cs="Times New Roman CYR"/>
    </w:rPr>
  </w:style>
  <w:style w:type="paragraph" w:styleId="1153" w:customStyle="1">
    <w:name w:val="xl41"/>
    <w:basedOn w:val="723"/>
    <w:pPr>
      <w:jc w:val="right"/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1154" w:customStyle="1">
    <w:name w:val="Основной текст 21"/>
    <w:basedOn w:val="723"/>
    <w:pPr>
      <w:jc w:val="both"/>
      <w:spacing w:line="288" w:lineRule="auto"/>
      <w:tabs>
        <w:tab w:val="left" w:pos="180" w:leader="none"/>
        <w:tab w:val="left" w:pos="900" w:leader="none"/>
      </w:tabs>
    </w:pPr>
    <w:rPr>
      <w:sz w:val="26"/>
      <w:szCs w:val="28"/>
    </w:rPr>
  </w:style>
  <w:style w:type="paragraph" w:styleId="1155" w:customStyle="1">
    <w:name w:val="ConsPlusNormal"/>
    <w:qFormat/>
    <w:pPr>
      <w:ind w:firstLine="720"/>
      <w:widowControl w:val="off"/>
    </w:pPr>
    <w:rPr>
      <w:rFonts w:ascii="Arial" w:hAnsi="Arial" w:cs="Arial"/>
      <w:lang w:eastAsia="ar-SA"/>
    </w:rPr>
  </w:style>
  <w:style w:type="paragraph" w:styleId="1156" w:customStyle="1">
    <w:name w:val="Знак Знак Знак"/>
    <w:basedOn w:val="723"/>
    <w:pPr>
      <w:spacing w:after="160" w:line="240" w:lineRule="exact"/>
    </w:pPr>
    <w:rPr>
      <w:rFonts w:ascii="Verdana" w:hAnsi="Verdana" w:eastAsia="MS Mincho" w:cs="Verdana"/>
      <w:sz w:val="20"/>
      <w:szCs w:val="20"/>
      <w:lang w:val="en-GB"/>
    </w:rPr>
  </w:style>
  <w:style w:type="paragraph" w:styleId="1157" w:customStyle="1">
    <w:name w:val="Знак1"/>
    <w:basedOn w:val="723"/>
    <w:pPr>
      <w:jc w:val="both"/>
      <w:spacing w:line="360" w:lineRule="atLeast"/>
      <w:widowControl w:val="off"/>
    </w:pPr>
    <w:rPr>
      <w:rFonts w:ascii="Verdana" w:hAnsi="Verdana" w:cs="Verdana"/>
      <w:sz w:val="20"/>
      <w:szCs w:val="20"/>
      <w:lang w:val="en-US"/>
    </w:rPr>
  </w:style>
  <w:style w:type="paragraph" w:styleId="1158" w:customStyle="1">
    <w:name w:val="Знак Знак Знак1 Знак"/>
    <w:basedOn w:val="723"/>
    <w:pPr>
      <w:jc w:val="both"/>
      <w:spacing w:line="360" w:lineRule="atLeast"/>
      <w:widowControl w:val="off"/>
    </w:pPr>
    <w:rPr>
      <w:rFonts w:ascii="Verdana" w:hAnsi="Verdana" w:cs="Verdana"/>
      <w:sz w:val="20"/>
      <w:szCs w:val="20"/>
      <w:lang w:val="en-US"/>
    </w:rPr>
  </w:style>
  <w:style w:type="paragraph" w:styleId="1159" w:customStyle="1">
    <w:name w:val="rtejustify"/>
    <w:basedOn w:val="723"/>
    <w:pPr>
      <w:spacing w:before="280" w:after="280"/>
    </w:pPr>
  </w:style>
  <w:style w:type="paragraph" w:styleId="1160">
    <w:name w:val="Header"/>
    <w:basedOn w:val="723"/>
    <w:link w:val="1201"/>
    <w:uiPriority w:val="99"/>
    <w:pPr>
      <w:tabs>
        <w:tab w:val="center" w:pos="4677" w:leader="none"/>
        <w:tab w:val="right" w:pos="9355" w:leader="none"/>
      </w:tabs>
      <w:suppressLineNumbers/>
    </w:pPr>
  </w:style>
  <w:style w:type="paragraph" w:styleId="1161">
    <w:name w:val="Footer"/>
    <w:basedOn w:val="723"/>
    <w:link w:val="769"/>
    <w:pPr>
      <w:tabs>
        <w:tab w:val="center" w:pos="4677" w:leader="none"/>
        <w:tab w:val="right" w:pos="9355" w:leader="none"/>
      </w:tabs>
      <w:suppressLineNumbers/>
    </w:pPr>
  </w:style>
  <w:style w:type="paragraph" w:styleId="1162" w:customStyle="1">
    <w:name w:val="Знак"/>
    <w:basedOn w:val="723"/>
    <w:pPr>
      <w:spacing w:after="160" w:line="240" w:lineRule="exact"/>
    </w:pPr>
    <w:rPr>
      <w:rFonts w:ascii="Verdana" w:hAnsi="Verdana" w:cs="Verdana"/>
      <w:lang w:val="en-US"/>
    </w:rPr>
  </w:style>
  <w:style w:type="paragraph" w:styleId="1163" w:customStyle="1">
    <w:name w:val="ConsTitle"/>
    <w:pPr>
      <w:ind w:right="19772"/>
      <w:widowControl w:val="off"/>
    </w:pPr>
    <w:rPr>
      <w:rFonts w:ascii="Arial" w:hAnsi="Arial" w:cs="Arial"/>
      <w:b/>
      <w:bCs/>
      <w:sz w:val="16"/>
      <w:szCs w:val="16"/>
      <w:lang w:eastAsia="ar-SA"/>
    </w:rPr>
  </w:style>
  <w:style w:type="paragraph" w:styleId="1164" w:customStyle="1">
    <w:name w:val="Текст сноски1"/>
    <w:basedOn w:val="723"/>
    <w:rPr>
      <w:sz w:val="20"/>
      <w:szCs w:val="20"/>
    </w:rPr>
  </w:style>
  <w:style w:type="paragraph" w:styleId="1165" w:customStyle="1">
    <w:name w:val="Текст выноски1"/>
    <w:basedOn w:val="723"/>
    <w:rPr>
      <w:rFonts w:ascii="Tahoma" w:hAnsi="Tahoma" w:cs="Tahoma"/>
      <w:sz w:val="16"/>
      <w:szCs w:val="16"/>
    </w:rPr>
  </w:style>
  <w:style w:type="paragraph" w:styleId="1166" w:customStyle="1">
    <w:name w:val="Знак Знак Знак Знак Знак Знак Знак"/>
    <w:basedOn w:val="723"/>
    <w:pPr>
      <w:jc w:val="both"/>
      <w:spacing w:line="360" w:lineRule="atLeast"/>
      <w:widowControl w:val="off"/>
    </w:pPr>
    <w:rPr>
      <w:rFonts w:ascii="Verdana" w:hAnsi="Verdana" w:cs="Verdana"/>
      <w:sz w:val="20"/>
      <w:szCs w:val="20"/>
      <w:lang w:val="en-US"/>
    </w:rPr>
  </w:style>
  <w:style w:type="paragraph" w:styleId="1167" w:customStyle="1">
    <w:name w:val="Знак Знак Знак1 Знак Знак Знак Знак"/>
    <w:basedOn w:val="723"/>
    <w:pPr>
      <w:jc w:val="both"/>
      <w:spacing w:line="360" w:lineRule="atLeast"/>
      <w:widowControl w:val="off"/>
    </w:pPr>
    <w:rPr>
      <w:rFonts w:ascii="Verdana" w:hAnsi="Verdana" w:cs="Verdana"/>
      <w:sz w:val="20"/>
      <w:szCs w:val="20"/>
      <w:lang w:val="en-US"/>
    </w:rPr>
  </w:style>
  <w:style w:type="paragraph" w:styleId="1168">
    <w:name w:val="Title"/>
    <w:basedOn w:val="723"/>
    <w:next w:val="1169"/>
    <w:link w:val="762"/>
    <w:qFormat/>
    <w:pPr>
      <w:jc w:val="center"/>
    </w:pPr>
    <w:rPr>
      <w:b/>
      <w:bCs/>
      <w:sz w:val="36"/>
      <w:szCs w:val="36"/>
    </w:rPr>
  </w:style>
  <w:style w:type="paragraph" w:styleId="1169">
    <w:name w:val="Subtitle"/>
    <w:basedOn w:val="1126"/>
    <w:next w:val="913"/>
    <w:link w:val="763"/>
    <w:qFormat/>
    <w:pPr>
      <w:jc w:val="center"/>
    </w:pPr>
    <w:rPr>
      <w:i/>
      <w:iCs/>
    </w:rPr>
  </w:style>
  <w:style w:type="paragraph" w:styleId="1170" w:customStyle="1">
    <w:name w:val="Абзац списка1"/>
    <w:basedOn w:val="723"/>
    <w:pPr>
      <w:ind w:left="720"/>
      <w:spacing w:after="200" w:line="276" w:lineRule="auto"/>
    </w:pPr>
    <w:rPr>
      <w:rFonts w:ascii="Calibri" w:hAnsi="Calibri" w:eastAsia="Calibri" w:cs="Arial"/>
      <w:sz w:val="22"/>
      <w:szCs w:val="22"/>
    </w:rPr>
  </w:style>
  <w:style w:type="paragraph" w:styleId="1171" w:customStyle="1">
    <w:name w:val="Обычный (веб)1"/>
    <w:basedOn w:val="723"/>
    <w:pPr>
      <w:spacing w:before="280" w:after="280"/>
    </w:pPr>
  </w:style>
  <w:style w:type="paragraph" w:styleId="1172" w:customStyle="1">
    <w:name w:val="Содержимое таблицы"/>
    <w:basedOn w:val="723"/>
    <w:pPr>
      <w:suppressLineNumbers/>
    </w:pPr>
  </w:style>
  <w:style w:type="paragraph" w:styleId="1173" w:customStyle="1">
    <w:name w:val="Заголовок таблицы"/>
    <w:basedOn w:val="1172"/>
    <w:pPr>
      <w:jc w:val="center"/>
    </w:pPr>
    <w:rPr>
      <w:b/>
      <w:bCs/>
    </w:rPr>
  </w:style>
  <w:style w:type="paragraph" w:styleId="1174" w:customStyle="1">
    <w:name w:val="Содержимое врезки"/>
    <w:basedOn w:val="913"/>
  </w:style>
  <w:style w:type="paragraph" w:styleId="1175" w:customStyle="1">
    <w:name w:val="Основной текст с отступом 32"/>
    <w:basedOn w:val="723"/>
    <w:pPr>
      <w:ind w:firstLine="709"/>
      <w:jc w:val="both"/>
      <w:spacing w:line="288" w:lineRule="auto"/>
    </w:pPr>
    <w:rPr>
      <w:color w:val="0000ff"/>
      <w:sz w:val="26"/>
      <w:szCs w:val="28"/>
    </w:rPr>
  </w:style>
  <w:style w:type="paragraph" w:styleId="1176" w:customStyle="1">
    <w:name w:val="Основной текст с отступом 22"/>
    <w:basedOn w:val="723"/>
    <w:pPr>
      <w:ind w:firstLine="709"/>
      <w:jc w:val="both"/>
    </w:pPr>
    <w:rPr>
      <w:sz w:val="28"/>
      <w:szCs w:val="20"/>
    </w:rPr>
  </w:style>
  <w:style w:type="paragraph" w:styleId="1177" w:customStyle="1">
    <w:name w:val="Основной текст 32"/>
    <w:basedOn w:val="723"/>
    <w:pPr>
      <w:spacing w:after="120"/>
    </w:pPr>
    <w:rPr>
      <w:sz w:val="16"/>
      <w:szCs w:val="16"/>
    </w:rPr>
  </w:style>
  <w:style w:type="paragraph" w:styleId="1178" w:customStyle="1">
    <w:name w:val="Основной текст 22"/>
    <w:basedOn w:val="723"/>
    <w:pPr>
      <w:jc w:val="both"/>
      <w:spacing w:line="288" w:lineRule="auto"/>
      <w:tabs>
        <w:tab w:val="left" w:pos="180" w:leader="none"/>
        <w:tab w:val="left" w:pos="900" w:leader="none"/>
      </w:tabs>
    </w:pPr>
    <w:rPr>
      <w:sz w:val="26"/>
      <w:szCs w:val="28"/>
    </w:rPr>
  </w:style>
  <w:style w:type="paragraph" w:styleId="1179">
    <w:name w:val="Body Text Indent 3"/>
    <w:basedOn w:val="723"/>
    <w:link w:val="1180"/>
    <w:pPr>
      <w:ind w:firstLine="709"/>
      <w:jc w:val="both"/>
      <w:spacing w:line="288" w:lineRule="auto"/>
    </w:pPr>
    <w:rPr>
      <w:color w:val="0000ff"/>
      <w:sz w:val="26"/>
      <w:szCs w:val="28"/>
      <w:lang w:eastAsia="ru-RU"/>
    </w:rPr>
  </w:style>
  <w:style w:type="character" w:styleId="1180" w:customStyle="1">
    <w:name w:val="Основной текст с отступом 3 Знак1"/>
    <w:basedOn w:val="733"/>
    <w:link w:val="1179"/>
    <w:rPr>
      <w:color w:val="0000ff"/>
      <w:sz w:val="26"/>
      <w:szCs w:val="28"/>
    </w:rPr>
  </w:style>
  <w:style w:type="paragraph" w:styleId="1181">
    <w:name w:val="Body Text Indent 2"/>
    <w:basedOn w:val="723"/>
    <w:link w:val="1182"/>
    <w:pPr>
      <w:ind w:firstLine="709"/>
      <w:jc w:val="both"/>
    </w:pPr>
    <w:rPr>
      <w:sz w:val="28"/>
      <w:szCs w:val="20"/>
      <w:lang w:eastAsia="ru-RU"/>
    </w:rPr>
  </w:style>
  <w:style w:type="character" w:styleId="1182" w:customStyle="1">
    <w:name w:val="Основной текст с отступом 2 Знак1"/>
    <w:basedOn w:val="733"/>
    <w:link w:val="1181"/>
    <w:rPr>
      <w:sz w:val="28"/>
    </w:rPr>
  </w:style>
  <w:style w:type="paragraph" w:styleId="1183">
    <w:name w:val="Body Text 3"/>
    <w:basedOn w:val="723"/>
    <w:link w:val="1184"/>
    <w:pPr>
      <w:spacing w:after="120"/>
    </w:pPr>
    <w:rPr>
      <w:sz w:val="16"/>
      <w:szCs w:val="16"/>
      <w:lang w:eastAsia="ru-RU"/>
    </w:rPr>
  </w:style>
  <w:style w:type="character" w:styleId="1184" w:customStyle="1">
    <w:name w:val="Основной текст 3 Знак1"/>
    <w:basedOn w:val="733"/>
    <w:link w:val="1183"/>
    <w:rPr>
      <w:sz w:val="16"/>
      <w:szCs w:val="16"/>
    </w:rPr>
  </w:style>
  <w:style w:type="paragraph" w:styleId="1185">
    <w:name w:val="Body Text 2"/>
    <w:basedOn w:val="723"/>
    <w:link w:val="1186"/>
    <w:pPr>
      <w:jc w:val="both"/>
      <w:spacing w:line="288" w:lineRule="auto"/>
      <w:tabs>
        <w:tab w:val="left" w:pos="180" w:leader="none"/>
        <w:tab w:val="left" w:pos="900" w:leader="none"/>
      </w:tabs>
    </w:pPr>
    <w:rPr>
      <w:sz w:val="26"/>
      <w:szCs w:val="28"/>
      <w:lang w:eastAsia="ru-RU"/>
    </w:rPr>
  </w:style>
  <w:style w:type="character" w:styleId="1186" w:customStyle="1">
    <w:name w:val="Основной текст 2 Знак1"/>
    <w:basedOn w:val="733"/>
    <w:link w:val="1185"/>
    <w:rPr>
      <w:sz w:val="26"/>
      <w:szCs w:val="28"/>
    </w:rPr>
  </w:style>
  <w:style w:type="paragraph" w:styleId="1187" w:customStyle="1">
    <w:name w:val="Знак Знак Знак"/>
    <w:basedOn w:val="723"/>
    <w:pPr>
      <w:spacing w:after="160" w:line="240" w:lineRule="exact"/>
    </w:pPr>
    <w:rPr>
      <w:rFonts w:ascii="Verdana" w:hAnsi="Verdana" w:eastAsia="MS Mincho"/>
      <w:sz w:val="20"/>
      <w:szCs w:val="20"/>
      <w:lang w:val="en-GB" w:eastAsia="en-US"/>
    </w:rPr>
  </w:style>
  <w:style w:type="paragraph" w:styleId="1188" w:customStyle="1">
    <w:name w:val="Знак1"/>
    <w:basedOn w:val="723"/>
    <w:pPr>
      <w:jc w:val="both"/>
      <w:spacing w:line="360" w:lineRule="atLeast"/>
      <w:widowControl w:val="off"/>
    </w:pPr>
    <w:rPr>
      <w:rFonts w:ascii="Verdana" w:hAnsi="Verdana" w:cs="Verdana"/>
      <w:sz w:val="20"/>
      <w:szCs w:val="20"/>
      <w:lang w:val="en-US" w:eastAsia="en-US"/>
    </w:rPr>
  </w:style>
  <w:style w:type="paragraph" w:styleId="1189" w:customStyle="1">
    <w:name w:val="Знак Знак Знак1 Знак"/>
    <w:basedOn w:val="723"/>
    <w:pPr>
      <w:jc w:val="both"/>
      <w:spacing w:line="360" w:lineRule="atLeast"/>
      <w:widowControl w:val="off"/>
    </w:pPr>
    <w:rPr>
      <w:rFonts w:ascii="Verdana" w:hAnsi="Verdana" w:cs="Verdana"/>
      <w:sz w:val="20"/>
      <w:szCs w:val="20"/>
      <w:lang w:val="en-US" w:eastAsia="en-US"/>
    </w:rPr>
  </w:style>
  <w:style w:type="character" w:styleId="1190">
    <w:name w:val="page number"/>
    <w:basedOn w:val="733"/>
  </w:style>
  <w:style w:type="paragraph" w:styleId="1191" w:customStyle="1">
    <w:name w:val="Знак"/>
    <w:basedOn w:val="723"/>
    <w:pPr>
      <w:spacing w:after="160" w:line="240" w:lineRule="exact"/>
    </w:pPr>
    <w:rPr>
      <w:rFonts w:ascii="Verdana" w:hAnsi="Verdana"/>
      <w:lang w:val="en-US" w:eastAsia="en-US"/>
    </w:rPr>
  </w:style>
  <w:style w:type="character" w:styleId="1192" w:customStyle="1">
    <w:name w:val="Текст сноски Знак"/>
    <w:basedOn w:val="733"/>
    <w:uiPriority w:val="99"/>
    <w:semiHidden/>
    <w:rPr>
      <w:lang w:eastAsia="ar-SA"/>
    </w:rPr>
  </w:style>
  <w:style w:type="character" w:styleId="1193" w:customStyle="1">
    <w:name w:val="Текст выноски Знак"/>
    <w:basedOn w:val="733"/>
    <w:link w:val="1194"/>
    <w:semiHidden/>
    <w:rPr>
      <w:rFonts w:ascii="Tahoma" w:hAnsi="Tahoma" w:cs="Tahoma"/>
      <w:sz w:val="16"/>
      <w:szCs w:val="16"/>
    </w:rPr>
  </w:style>
  <w:style w:type="paragraph" w:styleId="1194">
    <w:name w:val="Balloon Text"/>
    <w:basedOn w:val="723"/>
    <w:link w:val="1193"/>
    <w:semiHidden/>
    <w:rPr>
      <w:rFonts w:ascii="Tahoma" w:hAnsi="Tahoma" w:cs="Tahoma"/>
      <w:sz w:val="16"/>
      <w:szCs w:val="16"/>
      <w:lang w:eastAsia="ru-RU"/>
    </w:rPr>
  </w:style>
  <w:style w:type="paragraph" w:styleId="1195" w:customStyle="1">
    <w:name w:val="Знак Знак Знак Знак Знак Знак Знак"/>
    <w:basedOn w:val="723"/>
    <w:pPr>
      <w:jc w:val="both"/>
      <w:spacing w:line="360" w:lineRule="atLeast"/>
      <w:widowControl w:val="off"/>
    </w:pPr>
    <w:rPr>
      <w:rFonts w:ascii="Verdana" w:hAnsi="Verdana" w:cs="Verdana"/>
      <w:sz w:val="20"/>
      <w:szCs w:val="20"/>
      <w:lang w:val="en-US" w:eastAsia="en-US"/>
    </w:rPr>
  </w:style>
  <w:style w:type="paragraph" w:styleId="1196" w:customStyle="1">
    <w:name w:val="Знак Знак Знак1 Знак Знак Знак Знак"/>
    <w:basedOn w:val="723"/>
    <w:pPr>
      <w:jc w:val="both"/>
      <w:spacing w:line="360" w:lineRule="atLeast"/>
      <w:widowControl w:val="off"/>
    </w:pPr>
    <w:rPr>
      <w:rFonts w:ascii="Verdana" w:hAnsi="Verdana" w:cs="Verdana"/>
      <w:sz w:val="20"/>
      <w:szCs w:val="20"/>
      <w:lang w:val="en-US" w:eastAsia="en-US"/>
    </w:rPr>
  </w:style>
  <w:style w:type="character" w:styleId="1197" w:customStyle="1">
    <w:name w:val="Знак Знак"/>
    <w:rPr>
      <w:lang w:val="ru-RU" w:eastAsia="ru-RU" w:bidi="ar-SA"/>
    </w:rPr>
  </w:style>
  <w:style w:type="paragraph" w:styleId="1198">
    <w:name w:val="List Paragraph"/>
    <w:basedOn w:val="723"/>
    <w:link w:val="1202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1199">
    <w:name w:val="Normal (Web)"/>
    <w:basedOn w:val="723"/>
    <w:pPr>
      <w:spacing w:before="100" w:beforeAutospacing="1" w:after="100" w:afterAutospacing="1"/>
    </w:pPr>
    <w:rPr>
      <w:lang w:eastAsia="ru-RU"/>
    </w:rPr>
  </w:style>
  <w:style w:type="character" w:styleId="1200" w:customStyle="1">
    <w:name w:val="Знак Знак6"/>
    <w:rPr>
      <w:b/>
      <w:sz w:val="28"/>
      <w:szCs w:val="28"/>
      <w:lang w:val="ru-RU" w:eastAsia="ru-RU" w:bidi="ar-SA"/>
    </w:rPr>
  </w:style>
  <w:style w:type="character" w:styleId="1201" w:customStyle="1">
    <w:name w:val="Верхний колонтитул Знак"/>
    <w:basedOn w:val="733"/>
    <w:link w:val="1160"/>
    <w:uiPriority w:val="99"/>
    <w:rPr>
      <w:sz w:val="24"/>
      <w:szCs w:val="24"/>
      <w:lang w:eastAsia="ar-SA"/>
    </w:rPr>
  </w:style>
  <w:style w:type="character" w:styleId="1202" w:customStyle="1">
    <w:name w:val="Абзац списка Знак"/>
    <w:link w:val="1198"/>
    <w:uiPriority w:val="34"/>
    <w:rPr>
      <w:rFonts w:ascii="Calibri" w:hAnsi="Calibri" w:eastAsia="Calibri" w:cs="Arial"/>
      <w:sz w:val="22"/>
      <w:szCs w:val="22"/>
      <w:lang w:eastAsia="en-US"/>
    </w:rPr>
  </w:style>
  <w:style w:type="character" w:styleId="1203" w:customStyle="1">
    <w:name w:val="Гипертекстовая ссылка"/>
    <w:basedOn w:val="733"/>
    <w:uiPriority w:val="99"/>
    <w:rPr>
      <w:color w:val="106bbe"/>
    </w:rPr>
  </w:style>
  <w:style w:type="table" w:styleId="1204">
    <w:name w:val="Table Grid"/>
    <w:basedOn w:val="73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05" w:customStyle="1">
    <w:name w:val="Default"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6BC1A-4AFB-483C-AB75-EA11E6164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доходов бюджета Красноярского края выполнен на основе оптимистического варианта прогноза социально-экономического разви</dc:title>
  <dc:creator>Alekseenko</dc:creator>
  <cp:lastModifiedBy>putinceva</cp:lastModifiedBy>
  <cp:revision>31</cp:revision>
  <dcterms:created xsi:type="dcterms:W3CDTF">2025-10-29T10:49:00Z</dcterms:created>
  <dcterms:modified xsi:type="dcterms:W3CDTF">2025-11-14T02:10:19Z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